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9BAD" w14:textId="77777777" w:rsidR="009F7F5C" w:rsidRDefault="00080B76">
      <w:pPr>
        <w:pStyle w:val="Heading1"/>
        <w:spacing w:before="79"/>
      </w:pPr>
      <w:r>
        <w:t>REPORT OF THE FACULTY SENATE PERSONNEL COMMITTEE TO THE FACULTY SENATE</w:t>
      </w:r>
    </w:p>
    <w:p w14:paraId="25AA2BF1" w14:textId="65F1BFAD" w:rsidR="009F7F5C" w:rsidRDefault="00080B76">
      <w:pPr>
        <w:ind w:left="1092" w:right="1073"/>
        <w:jc w:val="center"/>
        <w:rPr>
          <w:b/>
          <w:sz w:val="24"/>
        </w:rPr>
      </w:pPr>
      <w:r>
        <w:rPr>
          <w:b/>
          <w:sz w:val="24"/>
        </w:rPr>
        <w:t>202</w:t>
      </w:r>
      <w:r w:rsidR="009045E3">
        <w:rPr>
          <w:b/>
          <w:sz w:val="24"/>
        </w:rPr>
        <w:t>4</w:t>
      </w:r>
      <w:r>
        <w:rPr>
          <w:b/>
          <w:sz w:val="24"/>
        </w:rPr>
        <w:t>-202</w:t>
      </w:r>
      <w:r w:rsidR="009045E3">
        <w:rPr>
          <w:b/>
          <w:sz w:val="24"/>
        </w:rPr>
        <w:t>5</w:t>
      </w:r>
    </w:p>
    <w:p w14:paraId="0C648C34" w14:textId="77777777" w:rsidR="009F7F5C" w:rsidRDefault="009F7F5C">
      <w:pPr>
        <w:pStyle w:val="BodyText"/>
        <w:rPr>
          <w:b/>
        </w:rPr>
      </w:pPr>
    </w:p>
    <w:p w14:paraId="08635D98" w14:textId="4101EE2E" w:rsidR="009F7F5C" w:rsidRDefault="00080B76">
      <w:pPr>
        <w:pStyle w:val="BodyText"/>
        <w:ind w:left="100" w:right="1161"/>
      </w:pPr>
      <w:r>
        <w:t xml:space="preserve">The Faculty Senate Personnel Committee (FSPC) met </w:t>
      </w:r>
      <w:r w:rsidR="009045E3">
        <w:t>fifteen</w:t>
      </w:r>
      <w:r>
        <w:t xml:space="preserve"> times during the 202</w:t>
      </w:r>
      <w:r w:rsidR="009045E3">
        <w:t>4</w:t>
      </w:r>
      <w:r>
        <w:t>-202</w:t>
      </w:r>
      <w:r w:rsidR="009045E3">
        <w:t>5</w:t>
      </w:r>
      <w:r>
        <w:t xml:space="preserve"> academic year.</w:t>
      </w:r>
    </w:p>
    <w:p w14:paraId="670A3442" w14:textId="77777777" w:rsidR="009F7F5C" w:rsidRDefault="009F7F5C">
      <w:pPr>
        <w:pStyle w:val="BodyText"/>
        <w:spacing w:before="11"/>
        <w:rPr>
          <w:sz w:val="23"/>
        </w:rPr>
      </w:pPr>
    </w:p>
    <w:p w14:paraId="0D83AFFB" w14:textId="77777777" w:rsidR="009F7F5C" w:rsidRDefault="00080B76">
      <w:pPr>
        <w:pStyle w:val="Heading1"/>
        <w:ind w:left="1088"/>
      </w:pPr>
      <w:r>
        <w:rPr>
          <w:u w:val="thick"/>
        </w:rPr>
        <w:t>SABBATICAL LEAVES</w:t>
      </w:r>
    </w:p>
    <w:p w14:paraId="1002E829" w14:textId="77777777" w:rsidR="009F7F5C" w:rsidRDefault="009F7F5C">
      <w:pPr>
        <w:pStyle w:val="BodyText"/>
        <w:spacing w:before="11"/>
        <w:rPr>
          <w:b/>
          <w:sz w:val="15"/>
        </w:rPr>
      </w:pPr>
    </w:p>
    <w:p w14:paraId="5A91144E" w14:textId="521D0BBC" w:rsidR="009F7F5C" w:rsidRDefault="00080B76">
      <w:pPr>
        <w:pStyle w:val="BodyText"/>
        <w:spacing w:before="90" w:line="242" w:lineRule="auto"/>
        <w:ind w:left="100" w:right="268"/>
      </w:pPr>
      <w:r>
        <w:t>Per the regulations of the Board of Trustees (Section II. E. 2 a.), a maximum of 34 sabbatical leave slots were available to be awarded university-wide for the 202</w:t>
      </w:r>
      <w:r w:rsidR="0037448B">
        <w:t>5</w:t>
      </w:r>
      <w:r>
        <w:t>-202</w:t>
      </w:r>
      <w:r w:rsidR="0037448B">
        <w:t>6</w:t>
      </w:r>
      <w:r>
        <w:t xml:space="preserve"> academic year.</w:t>
      </w:r>
    </w:p>
    <w:p w14:paraId="0AC4E302" w14:textId="77777777" w:rsidR="009F7F5C" w:rsidRDefault="009F7F5C">
      <w:pPr>
        <w:pStyle w:val="BodyText"/>
        <w:spacing w:before="8"/>
        <w:rPr>
          <w:sz w:val="23"/>
        </w:rPr>
      </w:pPr>
    </w:p>
    <w:p w14:paraId="3E458211" w14:textId="71360F9D" w:rsidR="009F7F5C" w:rsidRDefault="00080B76">
      <w:pPr>
        <w:pStyle w:val="BodyText"/>
        <w:ind w:left="100" w:right="268"/>
      </w:pPr>
      <w:r>
        <w:t>The FSPC and the Executive Vice President and Provost (EVP&amp;P) received and reviewed 4</w:t>
      </w:r>
      <w:r w:rsidR="0037448B">
        <w:t>7</w:t>
      </w:r>
      <w:r>
        <w:t xml:space="preserve"> sabbatical leave requests (4</w:t>
      </w:r>
      <w:r w:rsidR="0037448B">
        <w:t>7</w:t>
      </w:r>
      <w:r>
        <w:t xml:space="preserve"> faculty and 0 SPS). The FSPC and EVP&amp;P recommended that the Board of Trustees approve the 34 faculty requests. </w:t>
      </w:r>
      <w:r w:rsidR="0037448B">
        <w:t>Four faculty requests were ineligible. Nine</w:t>
      </w:r>
      <w:r>
        <w:t xml:space="preserve"> faculty requests were placed on an alternate list.</w:t>
      </w:r>
    </w:p>
    <w:p w14:paraId="0B9BA4D0" w14:textId="77777777" w:rsidR="009F7F5C" w:rsidRDefault="009F7F5C">
      <w:pPr>
        <w:pStyle w:val="BodyText"/>
        <w:spacing w:before="8"/>
        <w:rPr>
          <w:sz w:val="23"/>
        </w:rPr>
      </w:pPr>
    </w:p>
    <w:p w14:paraId="6D0E82D8" w14:textId="77777777" w:rsidR="009F7F5C" w:rsidRDefault="00080B76">
      <w:pPr>
        <w:pStyle w:val="Heading1"/>
        <w:ind w:left="2981" w:right="0"/>
        <w:jc w:val="left"/>
      </w:pPr>
      <w:r>
        <w:rPr>
          <w:u w:val="thick"/>
        </w:rPr>
        <w:t>TENURE AND/OR PROMOTION</w:t>
      </w:r>
    </w:p>
    <w:p w14:paraId="60BE9D04" w14:textId="77777777" w:rsidR="009F7F5C" w:rsidRDefault="009F7F5C">
      <w:pPr>
        <w:pStyle w:val="BodyText"/>
        <w:spacing w:before="1"/>
        <w:rPr>
          <w:b/>
          <w:sz w:val="16"/>
        </w:rPr>
      </w:pPr>
    </w:p>
    <w:p w14:paraId="0B9A88BC" w14:textId="0ECEEEB6" w:rsidR="009F7F5C" w:rsidRDefault="00080B76">
      <w:pPr>
        <w:pStyle w:val="BodyText"/>
        <w:spacing w:before="90"/>
        <w:ind w:left="100"/>
      </w:pPr>
      <w:r>
        <w:t xml:space="preserve">The FSPC and </w:t>
      </w:r>
      <w:proofErr w:type="gramStart"/>
      <w:r>
        <w:t>the EVP</w:t>
      </w:r>
      <w:proofErr w:type="gramEnd"/>
      <w:r>
        <w:t xml:space="preserve">&amp;P received </w:t>
      </w:r>
      <w:r w:rsidR="0037448B">
        <w:t>39</w:t>
      </w:r>
      <w:r>
        <w:t xml:space="preserve"> applications for tenure and/or promotion effective FY2</w:t>
      </w:r>
      <w:r w:rsidR="0037448B">
        <w:t>6</w:t>
      </w:r>
      <w:r>
        <w:t xml:space="preserve">. Of those, the FSPC recommended forwarding </w:t>
      </w:r>
      <w:r w:rsidR="0037448B">
        <w:t>39</w:t>
      </w:r>
      <w:r>
        <w:t xml:space="preserve"> to the President for final approval by the Board of Trustees. A summary of the </w:t>
      </w:r>
      <w:r w:rsidR="0037448B">
        <w:t>39</w:t>
      </w:r>
      <w:r>
        <w:t xml:space="preserve"> applications </w:t>
      </w:r>
      <w:proofErr w:type="gramStart"/>
      <w:r>
        <w:t>follows</w:t>
      </w:r>
      <w:proofErr w:type="gramEnd"/>
      <w:r>
        <w:t>:</w:t>
      </w:r>
    </w:p>
    <w:p w14:paraId="427C4573" w14:textId="77777777" w:rsidR="009F7F5C" w:rsidRDefault="009F7F5C">
      <w:pPr>
        <w:pStyle w:val="BodyText"/>
        <w:spacing w:before="10"/>
        <w:rPr>
          <w:sz w:val="23"/>
        </w:rPr>
      </w:pPr>
    </w:p>
    <w:p w14:paraId="44A19C2E" w14:textId="743CE62B" w:rsidR="009F7F5C" w:rsidRDefault="00080B76">
      <w:pPr>
        <w:ind w:left="100" w:right="815"/>
        <w:rPr>
          <w:sz w:val="24"/>
        </w:rPr>
      </w:pPr>
      <w:r>
        <w:rPr>
          <w:b/>
          <w:sz w:val="24"/>
        </w:rPr>
        <w:t xml:space="preserve">Promotion from Assistant Professor to Associate Professor – </w:t>
      </w:r>
      <w:r w:rsidR="0037448B">
        <w:rPr>
          <w:sz w:val="24"/>
        </w:rPr>
        <w:t>2</w:t>
      </w:r>
      <w:r>
        <w:rPr>
          <w:sz w:val="24"/>
        </w:rPr>
        <w:t xml:space="preserve"> application</w:t>
      </w:r>
      <w:r w:rsidR="0037448B">
        <w:rPr>
          <w:sz w:val="24"/>
        </w:rPr>
        <w:t>s</w:t>
      </w:r>
      <w:r>
        <w:rPr>
          <w:sz w:val="24"/>
        </w:rPr>
        <w:t xml:space="preserve"> </w:t>
      </w:r>
      <w:r w:rsidR="0037448B">
        <w:rPr>
          <w:sz w:val="24"/>
        </w:rPr>
        <w:t xml:space="preserve">were </w:t>
      </w:r>
      <w:r>
        <w:rPr>
          <w:sz w:val="24"/>
        </w:rPr>
        <w:t xml:space="preserve">received; </w:t>
      </w:r>
      <w:r w:rsidR="0037448B">
        <w:rPr>
          <w:sz w:val="24"/>
        </w:rPr>
        <w:t>2</w:t>
      </w:r>
      <w:r>
        <w:rPr>
          <w:sz w:val="24"/>
        </w:rPr>
        <w:t xml:space="preserve"> </w:t>
      </w:r>
      <w:r w:rsidR="00F64F05">
        <w:rPr>
          <w:sz w:val="24"/>
        </w:rPr>
        <w:t xml:space="preserve">were </w:t>
      </w:r>
      <w:r>
        <w:rPr>
          <w:sz w:val="24"/>
        </w:rPr>
        <w:t>recommended</w:t>
      </w:r>
      <w:r w:rsidR="0037448B">
        <w:rPr>
          <w:sz w:val="24"/>
        </w:rPr>
        <w:t>.</w:t>
      </w:r>
      <w:r w:rsidR="00F64F05">
        <w:rPr>
          <w:sz w:val="24"/>
        </w:rPr>
        <w:t xml:space="preserve">  1 of the 2 applicants resigned before promotion was awarded.</w:t>
      </w:r>
    </w:p>
    <w:p w14:paraId="06F17CE9" w14:textId="77777777" w:rsidR="009F7F5C" w:rsidRDefault="009F7F5C">
      <w:pPr>
        <w:pStyle w:val="BodyText"/>
        <w:spacing w:before="9"/>
        <w:rPr>
          <w:sz w:val="23"/>
        </w:rPr>
      </w:pPr>
    </w:p>
    <w:p w14:paraId="2A623A2F" w14:textId="0A92FAAF" w:rsidR="009F7F5C" w:rsidRDefault="00080B76">
      <w:pPr>
        <w:spacing w:before="1"/>
        <w:ind w:left="100" w:right="508"/>
        <w:rPr>
          <w:sz w:val="24"/>
        </w:rPr>
      </w:pPr>
      <w:r>
        <w:rPr>
          <w:b/>
          <w:sz w:val="24"/>
        </w:rPr>
        <w:t xml:space="preserve">Tenure and Promotion from Assistant Professor to Associate Professor - </w:t>
      </w:r>
      <w:r w:rsidR="00F64F05">
        <w:rPr>
          <w:sz w:val="24"/>
        </w:rPr>
        <w:t>21</w:t>
      </w:r>
      <w:r>
        <w:rPr>
          <w:sz w:val="24"/>
        </w:rPr>
        <w:t xml:space="preserve"> applications </w:t>
      </w:r>
      <w:r w:rsidR="00F64F05">
        <w:rPr>
          <w:sz w:val="24"/>
        </w:rPr>
        <w:t xml:space="preserve">were </w:t>
      </w:r>
      <w:r>
        <w:rPr>
          <w:sz w:val="24"/>
        </w:rPr>
        <w:t xml:space="preserve">received; </w:t>
      </w:r>
      <w:r w:rsidR="00F64F05">
        <w:rPr>
          <w:sz w:val="24"/>
        </w:rPr>
        <w:t>21</w:t>
      </w:r>
      <w:r>
        <w:rPr>
          <w:sz w:val="24"/>
        </w:rPr>
        <w:t xml:space="preserve"> </w:t>
      </w:r>
      <w:r w:rsidR="00F64F05">
        <w:rPr>
          <w:sz w:val="24"/>
        </w:rPr>
        <w:t xml:space="preserve">were </w:t>
      </w:r>
      <w:r>
        <w:rPr>
          <w:sz w:val="24"/>
        </w:rPr>
        <w:t>recommended</w:t>
      </w:r>
    </w:p>
    <w:p w14:paraId="155EE3F6" w14:textId="77777777" w:rsidR="009F7F5C" w:rsidRDefault="009F7F5C">
      <w:pPr>
        <w:pStyle w:val="BodyText"/>
      </w:pPr>
    </w:p>
    <w:p w14:paraId="745C0165" w14:textId="20C29F19" w:rsidR="009F7F5C" w:rsidRDefault="00080B76">
      <w:pPr>
        <w:pStyle w:val="BodyText"/>
        <w:ind w:left="100" w:right="309"/>
      </w:pPr>
      <w:r>
        <w:t xml:space="preserve">Of the </w:t>
      </w:r>
      <w:r w:rsidR="00F64F05">
        <w:t>21</w:t>
      </w:r>
      <w:r>
        <w:t xml:space="preserve"> tenure and promotion applications, </w:t>
      </w:r>
      <w:r w:rsidR="00F64F05">
        <w:t>1 was an</w:t>
      </w:r>
      <w:r>
        <w:t xml:space="preserve"> early application </w:t>
      </w:r>
    </w:p>
    <w:p w14:paraId="08AE8644" w14:textId="77777777" w:rsidR="009F7F5C" w:rsidRDefault="009F7F5C">
      <w:pPr>
        <w:pStyle w:val="BodyText"/>
        <w:spacing w:before="11"/>
        <w:rPr>
          <w:sz w:val="23"/>
        </w:rPr>
      </w:pPr>
    </w:p>
    <w:p w14:paraId="2A619ADF" w14:textId="138CAFB4" w:rsidR="009F7F5C" w:rsidRDefault="00080B76">
      <w:pPr>
        <w:ind w:left="100"/>
        <w:rPr>
          <w:sz w:val="24"/>
        </w:rPr>
      </w:pPr>
      <w:r>
        <w:rPr>
          <w:b/>
          <w:sz w:val="24"/>
        </w:rPr>
        <w:t xml:space="preserve">Promotion from Associate Professor to Professor - </w:t>
      </w:r>
      <w:r>
        <w:rPr>
          <w:sz w:val="24"/>
        </w:rPr>
        <w:t>1</w:t>
      </w:r>
      <w:r w:rsidR="00F64F05">
        <w:rPr>
          <w:sz w:val="24"/>
        </w:rPr>
        <w:t>4</w:t>
      </w:r>
      <w:r>
        <w:rPr>
          <w:sz w:val="24"/>
        </w:rPr>
        <w:t xml:space="preserve"> applications </w:t>
      </w:r>
      <w:r w:rsidR="00F64F05">
        <w:rPr>
          <w:sz w:val="24"/>
        </w:rPr>
        <w:t xml:space="preserve">were </w:t>
      </w:r>
      <w:r>
        <w:rPr>
          <w:sz w:val="24"/>
        </w:rPr>
        <w:t>received; 1</w:t>
      </w:r>
      <w:r w:rsidR="00F64F05">
        <w:rPr>
          <w:sz w:val="24"/>
        </w:rPr>
        <w:t>4</w:t>
      </w:r>
      <w:r>
        <w:rPr>
          <w:sz w:val="24"/>
        </w:rPr>
        <w:t xml:space="preserve"> </w:t>
      </w:r>
      <w:r w:rsidR="00F64F05">
        <w:rPr>
          <w:sz w:val="24"/>
        </w:rPr>
        <w:t xml:space="preserve">were </w:t>
      </w:r>
      <w:r>
        <w:rPr>
          <w:sz w:val="24"/>
        </w:rPr>
        <w:t>recommended</w:t>
      </w:r>
    </w:p>
    <w:p w14:paraId="7D7F3161" w14:textId="77777777" w:rsidR="009F7F5C" w:rsidRDefault="009F7F5C">
      <w:pPr>
        <w:pStyle w:val="BodyText"/>
        <w:spacing w:before="11"/>
        <w:rPr>
          <w:sz w:val="23"/>
        </w:rPr>
      </w:pPr>
    </w:p>
    <w:p w14:paraId="13964450" w14:textId="74B01E2F" w:rsidR="009F7F5C" w:rsidRDefault="00080B76">
      <w:pPr>
        <w:pStyle w:val="BodyText"/>
        <w:ind w:left="100" w:right="103"/>
        <w:jc w:val="both"/>
      </w:pPr>
      <w:r>
        <w:t>Of the 1</w:t>
      </w:r>
      <w:r w:rsidR="00F64F05">
        <w:t>4</w:t>
      </w:r>
      <w:r>
        <w:t xml:space="preserve"> promotion applications received, </w:t>
      </w:r>
      <w:r w:rsidR="00F64F05">
        <w:t>3 were early applications</w:t>
      </w:r>
      <w:r>
        <w:t>.</w:t>
      </w:r>
    </w:p>
    <w:p w14:paraId="06C75E19" w14:textId="77777777" w:rsidR="009F7F5C" w:rsidRDefault="009F7F5C">
      <w:pPr>
        <w:pStyle w:val="BodyText"/>
        <w:spacing w:before="9"/>
        <w:rPr>
          <w:sz w:val="23"/>
        </w:rPr>
      </w:pPr>
    </w:p>
    <w:p w14:paraId="1F3AE6E3" w14:textId="62C2187E" w:rsidR="009F7F5C" w:rsidRDefault="00080B76">
      <w:pPr>
        <w:pStyle w:val="BodyText"/>
        <w:spacing w:before="73"/>
        <w:ind w:left="100" w:right="133"/>
      </w:pPr>
      <w:r>
        <w:rPr>
          <w:b/>
        </w:rPr>
        <w:t xml:space="preserve">Hired as Professor with Tenure </w:t>
      </w:r>
      <w:r>
        <w:t xml:space="preserve">(these applications were shared with FSPC as informational-only items as no action by the FSPC was required) – </w:t>
      </w:r>
      <w:r w:rsidR="00F64F05">
        <w:t xml:space="preserve">2 </w:t>
      </w:r>
      <w:r>
        <w:t>applications</w:t>
      </w:r>
      <w:r w:rsidR="00F64F05">
        <w:t xml:space="preserve"> were</w:t>
      </w:r>
      <w:r>
        <w:t xml:space="preserve"> received; </w:t>
      </w:r>
      <w:r w:rsidR="00F64F05">
        <w:t>2 were</w:t>
      </w:r>
      <w:r>
        <w:t xml:space="preserve"> recommended</w:t>
      </w:r>
    </w:p>
    <w:p w14:paraId="31B84C63" w14:textId="77777777" w:rsidR="009F7F5C" w:rsidRDefault="009F7F5C">
      <w:pPr>
        <w:pStyle w:val="BodyText"/>
        <w:spacing w:before="11"/>
        <w:rPr>
          <w:sz w:val="23"/>
        </w:rPr>
      </w:pPr>
    </w:p>
    <w:p w14:paraId="0657351B" w14:textId="77777777" w:rsidR="009F7F5C" w:rsidRDefault="00080B76">
      <w:pPr>
        <w:pStyle w:val="Heading1"/>
        <w:ind w:left="3462" w:right="3337"/>
      </w:pPr>
      <w:r>
        <w:rPr>
          <w:u w:val="thick"/>
        </w:rPr>
        <w:t>OTHER ACTIVITIES</w:t>
      </w:r>
    </w:p>
    <w:p w14:paraId="5A9CF6B1" w14:textId="77777777" w:rsidR="009F7F5C" w:rsidRDefault="009F7F5C">
      <w:pPr>
        <w:pStyle w:val="BodyText"/>
        <w:spacing w:before="2"/>
        <w:rPr>
          <w:b/>
          <w:sz w:val="16"/>
        </w:rPr>
      </w:pPr>
    </w:p>
    <w:p w14:paraId="52B0D2BF" w14:textId="402C9D5D" w:rsidR="009F7F5C" w:rsidRDefault="00080B76">
      <w:pPr>
        <w:pStyle w:val="BodyText"/>
        <w:spacing w:before="90"/>
        <w:ind w:left="359"/>
      </w:pPr>
      <w:r>
        <w:t>Other activities of the FSPC during the 202</w:t>
      </w:r>
      <w:r w:rsidR="00DE54B7">
        <w:t>4</w:t>
      </w:r>
      <w:r>
        <w:t>-202</w:t>
      </w:r>
      <w:r w:rsidR="00DE54B7">
        <w:t xml:space="preserve">5 </w:t>
      </w:r>
      <w:r>
        <w:t>academic year included the following:</w:t>
      </w:r>
    </w:p>
    <w:p w14:paraId="6491B92F" w14:textId="77777777" w:rsidR="009F7F5C" w:rsidRDefault="009F7F5C">
      <w:pPr>
        <w:pStyle w:val="BodyText"/>
        <w:spacing w:before="5"/>
        <w:rPr>
          <w:sz w:val="31"/>
        </w:rPr>
      </w:pPr>
    </w:p>
    <w:p w14:paraId="7B3C44CF" w14:textId="7D330DD2" w:rsidR="004D7E05" w:rsidRDefault="004D7E05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line="240" w:lineRule="auto"/>
        <w:ind w:hanging="360"/>
        <w:rPr>
          <w:sz w:val="24"/>
        </w:rPr>
      </w:pPr>
      <w:r>
        <w:rPr>
          <w:sz w:val="24"/>
        </w:rPr>
        <w:t>Discussed and drafted changes to Faculty Senate Bylaw Article</w:t>
      </w:r>
      <w:r w:rsidR="00070371">
        <w:rPr>
          <w:sz w:val="24"/>
        </w:rPr>
        <w:t>s 8 and</w:t>
      </w:r>
      <w:r>
        <w:rPr>
          <w:sz w:val="24"/>
        </w:rPr>
        <w:t xml:space="preserve"> 10</w:t>
      </w:r>
    </w:p>
    <w:p w14:paraId="457A2B12" w14:textId="726DD4AE" w:rsidR="009F7F5C" w:rsidRDefault="004D7E05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line="240" w:lineRule="auto"/>
        <w:ind w:hanging="360"/>
        <w:rPr>
          <w:sz w:val="24"/>
        </w:rPr>
      </w:pPr>
      <w:r>
        <w:rPr>
          <w:sz w:val="24"/>
        </w:rPr>
        <w:t>Approved a Special Hearing Board</w:t>
      </w:r>
    </w:p>
    <w:p w14:paraId="0AB2CE05" w14:textId="6F1BB80F" w:rsidR="00AA2C33" w:rsidRDefault="00AA2C33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line="240" w:lineRule="auto"/>
        <w:ind w:hanging="360"/>
        <w:rPr>
          <w:sz w:val="24"/>
        </w:rPr>
      </w:pPr>
      <w:r>
        <w:rPr>
          <w:sz w:val="24"/>
        </w:rPr>
        <w:t>Heard and granted a sabbatical ranking appeal. Created and distributed sabbatical ranking recommendations for college councils</w:t>
      </w:r>
    </w:p>
    <w:p w14:paraId="7AD33A10" w14:textId="77777777" w:rsidR="009F7F5C" w:rsidRDefault="00080B76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/>
        <w:rPr>
          <w:sz w:val="24"/>
        </w:rPr>
      </w:pPr>
      <w:r>
        <w:rPr>
          <w:sz w:val="24"/>
        </w:rPr>
        <w:t>Approved revisions to the College of Health and Human Science’s</w:t>
      </w:r>
      <w:r>
        <w:rPr>
          <w:spacing w:val="-25"/>
          <w:sz w:val="24"/>
        </w:rPr>
        <w:t xml:space="preserve"> </w:t>
      </w:r>
      <w:r>
        <w:rPr>
          <w:sz w:val="24"/>
        </w:rPr>
        <w:t>bylaws</w:t>
      </w:r>
    </w:p>
    <w:p w14:paraId="45359B8D" w14:textId="78232BED" w:rsidR="00070371" w:rsidRDefault="0007037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/>
        <w:rPr>
          <w:sz w:val="24"/>
        </w:rPr>
      </w:pPr>
      <w:r>
        <w:rPr>
          <w:sz w:val="24"/>
        </w:rPr>
        <w:t>Approved revisions to the College of Education’s bylaws</w:t>
      </w:r>
    </w:p>
    <w:p w14:paraId="0DDA3C3D" w14:textId="571F5A6C" w:rsidR="00070371" w:rsidRDefault="0007037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/>
        <w:rPr>
          <w:sz w:val="24"/>
        </w:rPr>
      </w:pPr>
      <w:r>
        <w:rPr>
          <w:sz w:val="24"/>
        </w:rPr>
        <w:lastRenderedPageBreak/>
        <w:t>Approved revisions to the College of Visual and Performing Arts bylaws</w:t>
      </w:r>
    </w:p>
    <w:p w14:paraId="716C3648" w14:textId="29B6C677" w:rsidR="00070371" w:rsidRDefault="0007037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/>
        <w:rPr>
          <w:sz w:val="24"/>
        </w:rPr>
      </w:pPr>
      <w:r>
        <w:rPr>
          <w:sz w:val="24"/>
        </w:rPr>
        <w:t>Approved revisions to the University Library bylaws</w:t>
      </w:r>
    </w:p>
    <w:p w14:paraId="570E5663" w14:textId="04E41B86" w:rsidR="00070371" w:rsidRDefault="0007037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/>
        <w:rPr>
          <w:sz w:val="24"/>
        </w:rPr>
      </w:pPr>
      <w:r>
        <w:rPr>
          <w:sz w:val="24"/>
        </w:rPr>
        <w:t>Approved revisions to the College of Law bylaws</w:t>
      </w:r>
    </w:p>
    <w:p w14:paraId="14676091" w14:textId="1D302E0E" w:rsidR="009F7F5C" w:rsidRDefault="0007037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/>
        <w:rPr>
          <w:sz w:val="24"/>
        </w:rPr>
      </w:pPr>
      <w:r>
        <w:rPr>
          <w:sz w:val="24"/>
        </w:rPr>
        <w:t>Discussed and drafted guidance to the colleges regarding funding and resources ramifications on promotion and tenure</w:t>
      </w:r>
    </w:p>
    <w:sectPr w:rsidR="009F7F5C">
      <w:pgSz w:w="12240" w:h="15840"/>
      <w:pgMar w:top="7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2822"/>
    <w:multiLevelType w:val="hybridMultilevel"/>
    <w:tmpl w:val="C33EB240"/>
    <w:lvl w:ilvl="0" w:tplc="C8BEA2C8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B3E125E">
      <w:numFmt w:val="bullet"/>
      <w:lvlText w:val="•"/>
      <w:lvlJc w:val="left"/>
      <w:pPr>
        <w:ind w:left="1332" w:hanging="358"/>
      </w:pPr>
      <w:rPr>
        <w:rFonts w:hint="default"/>
      </w:rPr>
    </w:lvl>
    <w:lvl w:ilvl="2" w:tplc="089A68CC">
      <w:numFmt w:val="bullet"/>
      <w:lvlText w:val="•"/>
      <w:lvlJc w:val="left"/>
      <w:pPr>
        <w:ind w:left="2204" w:hanging="358"/>
      </w:pPr>
      <w:rPr>
        <w:rFonts w:hint="default"/>
      </w:rPr>
    </w:lvl>
    <w:lvl w:ilvl="3" w:tplc="ED849C70">
      <w:numFmt w:val="bullet"/>
      <w:lvlText w:val="•"/>
      <w:lvlJc w:val="left"/>
      <w:pPr>
        <w:ind w:left="3076" w:hanging="358"/>
      </w:pPr>
      <w:rPr>
        <w:rFonts w:hint="default"/>
      </w:rPr>
    </w:lvl>
    <w:lvl w:ilvl="4" w:tplc="DE96B8C6">
      <w:numFmt w:val="bullet"/>
      <w:lvlText w:val="•"/>
      <w:lvlJc w:val="left"/>
      <w:pPr>
        <w:ind w:left="3948" w:hanging="358"/>
      </w:pPr>
      <w:rPr>
        <w:rFonts w:hint="default"/>
      </w:rPr>
    </w:lvl>
    <w:lvl w:ilvl="5" w:tplc="1E2A9962">
      <w:numFmt w:val="bullet"/>
      <w:lvlText w:val="•"/>
      <w:lvlJc w:val="left"/>
      <w:pPr>
        <w:ind w:left="4820" w:hanging="358"/>
      </w:pPr>
      <w:rPr>
        <w:rFonts w:hint="default"/>
      </w:rPr>
    </w:lvl>
    <w:lvl w:ilvl="6" w:tplc="E68639C6">
      <w:numFmt w:val="bullet"/>
      <w:lvlText w:val="•"/>
      <w:lvlJc w:val="left"/>
      <w:pPr>
        <w:ind w:left="5692" w:hanging="358"/>
      </w:pPr>
      <w:rPr>
        <w:rFonts w:hint="default"/>
      </w:rPr>
    </w:lvl>
    <w:lvl w:ilvl="7" w:tplc="CE3A3158">
      <w:numFmt w:val="bullet"/>
      <w:lvlText w:val="•"/>
      <w:lvlJc w:val="left"/>
      <w:pPr>
        <w:ind w:left="6564" w:hanging="358"/>
      </w:pPr>
      <w:rPr>
        <w:rFonts w:hint="default"/>
      </w:rPr>
    </w:lvl>
    <w:lvl w:ilvl="8" w:tplc="4D5AD988">
      <w:numFmt w:val="bullet"/>
      <w:lvlText w:val="•"/>
      <w:lvlJc w:val="left"/>
      <w:pPr>
        <w:ind w:left="7436" w:hanging="358"/>
      </w:pPr>
      <w:rPr>
        <w:rFonts w:hint="default"/>
      </w:rPr>
    </w:lvl>
  </w:abstractNum>
  <w:num w:numId="1" w16cid:durableId="26446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5C"/>
    <w:rsid w:val="00070371"/>
    <w:rsid w:val="00080B76"/>
    <w:rsid w:val="0037448B"/>
    <w:rsid w:val="004D7E05"/>
    <w:rsid w:val="005C1F1E"/>
    <w:rsid w:val="005F344E"/>
    <w:rsid w:val="009045E3"/>
    <w:rsid w:val="009F7F5C"/>
    <w:rsid w:val="00AA2C33"/>
    <w:rsid w:val="00DE54B7"/>
    <w:rsid w:val="00EE090B"/>
    <w:rsid w:val="00F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2153"/>
  <w15:docId w15:val="{B50B4BFD-6E35-44E0-A25E-1D513DA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2" w:right="107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4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Ditrichs-Kunkel</dc:creator>
  <cp:lastModifiedBy>Patricia Erickson</cp:lastModifiedBy>
  <cp:revision>2</cp:revision>
  <dcterms:created xsi:type="dcterms:W3CDTF">2025-06-26T14:19:00Z</dcterms:created>
  <dcterms:modified xsi:type="dcterms:W3CDTF">2025-06-26T14:19:00Z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2025-06-26T00:00:00Z</vt:filetime>
  </property>
</Properties>
</file>