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83F5" w14:textId="7B199310" w:rsidR="00F42E2F" w:rsidRDefault="00F42E2F" w:rsidP="00211117">
      <w:pPr>
        <w:jc w:val="center"/>
        <w:rPr>
          <w:rFonts w:ascii="Arial Narrow" w:hAnsi="Arial Narrow"/>
          <w:b/>
          <w:smallCaps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735C9F1E" wp14:editId="230FAB5E">
            <wp:extent cx="3533775" cy="685800"/>
            <wp:effectExtent l="0" t="0" r="9525" b="0"/>
            <wp:docPr id="2114873515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2AE6" w14:textId="77777777" w:rsidR="00B5193B" w:rsidRDefault="00B5193B" w:rsidP="00B5193B">
      <w:pPr>
        <w:rPr>
          <w:rFonts w:ascii="Arial Narrow" w:hAnsi="Arial Narrow"/>
          <w:b/>
          <w:szCs w:val="24"/>
        </w:rPr>
      </w:pPr>
    </w:p>
    <w:p w14:paraId="2182055E" w14:textId="77777777" w:rsidR="00EE6D9B" w:rsidRDefault="00EE6D9B" w:rsidP="00B5193B">
      <w:pPr>
        <w:jc w:val="center"/>
        <w:rPr>
          <w:rFonts w:ascii="Aptos Display" w:hAnsi="Aptos Display"/>
          <w:bCs/>
          <w:sz w:val="36"/>
          <w:szCs w:val="36"/>
        </w:rPr>
      </w:pPr>
    </w:p>
    <w:p w14:paraId="38489B49" w14:textId="4D5A6FDB" w:rsidR="00B5193B" w:rsidRDefault="00B5193B" w:rsidP="00817404">
      <w:pPr>
        <w:pStyle w:val="Title"/>
        <w:jc w:val="center"/>
        <w:rPr>
          <w:rFonts w:ascii="Aptos Display" w:hAnsi="Aptos Display"/>
          <w:sz w:val="36"/>
          <w:szCs w:val="36"/>
        </w:rPr>
      </w:pPr>
      <w:r w:rsidRPr="00DA7A4A">
        <w:rPr>
          <w:rFonts w:ascii="Aptos Display" w:hAnsi="Aptos Display"/>
          <w:sz w:val="36"/>
          <w:szCs w:val="36"/>
        </w:rPr>
        <w:t>HDFS 207 – The Consumer Proficiency Examination</w:t>
      </w:r>
    </w:p>
    <w:p w14:paraId="4F3A6040" w14:textId="77777777" w:rsidR="00DA7A4A" w:rsidRPr="00DA7A4A" w:rsidRDefault="00DA7A4A" w:rsidP="00817404"/>
    <w:p w14:paraId="1FF4482A" w14:textId="5DDD85A7" w:rsidR="00211117" w:rsidRPr="00DA7A4A" w:rsidRDefault="00211117" w:rsidP="00817404">
      <w:pPr>
        <w:pStyle w:val="Subtitle"/>
        <w:spacing w:after="0"/>
        <w:rPr>
          <w:rFonts w:ascii="Aptos Display" w:hAnsi="Aptos Display"/>
          <w:sz w:val="32"/>
          <w:szCs w:val="32"/>
        </w:rPr>
      </w:pPr>
      <w:r w:rsidRPr="00DA7A4A">
        <w:rPr>
          <w:rFonts w:ascii="Aptos Display" w:hAnsi="Aptos Display"/>
          <w:sz w:val="32"/>
          <w:szCs w:val="32"/>
        </w:rPr>
        <w:t>Testing Services</w:t>
      </w:r>
      <w:r w:rsidR="00B5193B" w:rsidRPr="00DA7A4A">
        <w:rPr>
          <w:rFonts w:ascii="Aptos Display" w:hAnsi="Aptos Display"/>
          <w:sz w:val="32"/>
          <w:szCs w:val="32"/>
        </w:rPr>
        <w:t xml:space="preserve"> a</w:t>
      </w:r>
      <w:r w:rsidRPr="00DA7A4A">
        <w:rPr>
          <w:rFonts w:ascii="Aptos Display" w:hAnsi="Aptos Display"/>
          <w:sz w:val="32"/>
          <w:szCs w:val="32"/>
        </w:rPr>
        <w:t>nd</w:t>
      </w:r>
      <w:r w:rsidR="00B5193B" w:rsidRPr="00DA7A4A">
        <w:rPr>
          <w:rFonts w:ascii="Aptos Display" w:hAnsi="Aptos Display"/>
          <w:sz w:val="32"/>
          <w:szCs w:val="32"/>
        </w:rPr>
        <w:t xml:space="preserve"> the </w:t>
      </w:r>
      <w:r w:rsidRPr="00DA7A4A">
        <w:rPr>
          <w:rFonts w:ascii="Aptos Display" w:hAnsi="Aptos Display"/>
          <w:sz w:val="32"/>
          <w:szCs w:val="32"/>
        </w:rPr>
        <w:t>School of Family</w:t>
      </w:r>
      <w:r w:rsidR="00BE23A5" w:rsidRPr="00DA7A4A">
        <w:rPr>
          <w:rFonts w:ascii="Aptos Display" w:hAnsi="Aptos Display"/>
          <w:sz w:val="32"/>
          <w:szCs w:val="32"/>
        </w:rPr>
        <w:t xml:space="preserve"> &amp;</w:t>
      </w:r>
      <w:r w:rsidRPr="00DA7A4A">
        <w:rPr>
          <w:rFonts w:ascii="Aptos Display" w:hAnsi="Aptos Display"/>
          <w:sz w:val="32"/>
          <w:szCs w:val="32"/>
        </w:rPr>
        <w:t xml:space="preserve"> Consumer Sciences</w:t>
      </w:r>
    </w:p>
    <w:p w14:paraId="107F37D9" w14:textId="3CC8CC90" w:rsidR="00DA7A4A" w:rsidRPr="00F15631" w:rsidRDefault="00211117" w:rsidP="00F15631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DA7A4A">
        <w:rPr>
          <w:rFonts w:ascii="Aptos Display" w:hAnsi="Aptos Display"/>
          <w:color w:val="auto"/>
          <w:sz w:val="28"/>
          <w:szCs w:val="28"/>
        </w:rPr>
        <w:t>C</w:t>
      </w:r>
      <w:r w:rsidR="00312F83" w:rsidRPr="00DA7A4A">
        <w:rPr>
          <w:rFonts w:ascii="Aptos Display" w:hAnsi="Aptos Display"/>
          <w:color w:val="auto"/>
          <w:sz w:val="28"/>
          <w:szCs w:val="28"/>
        </w:rPr>
        <w:t>ourse Description</w:t>
      </w:r>
    </w:p>
    <w:p w14:paraId="267D1DE1" w14:textId="45F4DF1D" w:rsidR="00211117" w:rsidRPr="00312F83" w:rsidRDefault="00211117" w:rsidP="00461C4A">
      <w:pPr>
        <w:rPr>
          <w:rFonts w:asciiTheme="minorHAnsi" w:hAnsiTheme="minorHAnsi" w:cstheme="minorHAnsi"/>
          <w:sz w:val="22"/>
          <w:szCs w:val="22"/>
        </w:rPr>
      </w:pPr>
      <w:r w:rsidRPr="00312F83">
        <w:rPr>
          <w:rFonts w:asciiTheme="minorHAnsi" w:hAnsiTheme="minorHAnsi" w:cstheme="minorHAnsi"/>
          <w:sz w:val="22"/>
          <w:szCs w:val="22"/>
        </w:rPr>
        <w:t>Role of family members as consumers; influence of values and goals upon consumption</w:t>
      </w:r>
      <w:r w:rsidR="00EE6D9B" w:rsidRPr="00312F83">
        <w:rPr>
          <w:rFonts w:asciiTheme="minorHAnsi" w:hAnsiTheme="minorHAnsi" w:cstheme="minorHAnsi"/>
          <w:sz w:val="22"/>
          <w:szCs w:val="22"/>
        </w:rPr>
        <w:t xml:space="preserve"> p</w:t>
      </w:r>
      <w:r w:rsidRPr="00312F83">
        <w:rPr>
          <w:rFonts w:asciiTheme="minorHAnsi" w:hAnsiTheme="minorHAnsi" w:cstheme="minorHAnsi"/>
          <w:sz w:val="22"/>
          <w:szCs w:val="22"/>
        </w:rPr>
        <w:t>ractice; information and protection for the consumer.</w:t>
      </w:r>
    </w:p>
    <w:p w14:paraId="23B386AE" w14:textId="1CB73DC1" w:rsidR="00DA7A4A" w:rsidRPr="00F15631" w:rsidRDefault="00312F83" w:rsidP="00F15631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DA7A4A">
        <w:rPr>
          <w:rFonts w:ascii="Aptos Display" w:hAnsi="Aptos Display"/>
          <w:color w:val="auto"/>
          <w:sz w:val="28"/>
          <w:szCs w:val="28"/>
        </w:rPr>
        <w:t>Proficiency Exam</w:t>
      </w:r>
    </w:p>
    <w:p w14:paraId="6CECCF66" w14:textId="0D432A4E" w:rsidR="00211117" w:rsidRPr="00312F83" w:rsidRDefault="00211117" w:rsidP="00461C4A">
      <w:pPr>
        <w:rPr>
          <w:rFonts w:asciiTheme="minorHAnsi" w:hAnsiTheme="minorHAnsi" w:cstheme="minorHAnsi"/>
          <w:sz w:val="22"/>
          <w:szCs w:val="22"/>
        </w:rPr>
      </w:pPr>
      <w:r w:rsidRPr="00312F83">
        <w:rPr>
          <w:rFonts w:asciiTheme="minorHAnsi" w:hAnsiTheme="minorHAnsi" w:cstheme="minorHAnsi"/>
          <w:sz w:val="22"/>
          <w:szCs w:val="22"/>
        </w:rPr>
        <w:t>The exam consists of 100 objective items. Two hours of testing time are allowed.</w:t>
      </w:r>
      <w:r w:rsidR="00DA7A4A">
        <w:rPr>
          <w:rFonts w:asciiTheme="minorHAnsi" w:hAnsiTheme="minorHAnsi" w:cstheme="minorHAnsi"/>
          <w:sz w:val="22"/>
          <w:szCs w:val="22"/>
        </w:rPr>
        <w:t xml:space="preserve"> </w:t>
      </w:r>
      <w:r w:rsidRPr="00312F83">
        <w:rPr>
          <w:rFonts w:asciiTheme="minorHAnsi" w:hAnsiTheme="minorHAnsi" w:cstheme="minorHAnsi"/>
          <w:sz w:val="22"/>
          <w:szCs w:val="22"/>
        </w:rPr>
        <w:t xml:space="preserve">The minimum passing score is 80 test items answered correctly. Upon successful completion of the exam three (3) hours of credit for </w:t>
      </w:r>
      <w:r w:rsidR="00BE23A5" w:rsidRPr="00312F83">
        <w:rPr>
          <w:rFonts w:asciiTheme="minorHAnsi" w:hAnsiTheme="minorHAnsi" w:cstheme="minorHAnsi"/>
          <w:sz w:val="22"/>
          <w:szCs w:val="22"/>
        </w:rPr>
        <w:t>HDFS</w:t>
      </w:r>
      <w:r w:rsidRPr="00312F83">
        <w:rPr>
          <w:rFonts w:asciiTheme="minorHAnsi" w:hAnsiTheme="minorHAnsi" w:cstheme="minorHAnsi"/>
          <w:sz w:val="22"/>
          <w:szCs w:val="22"/>
        </w:rPr>
        <w:t xml:space="preserve"> 207, The Consumer, will be granted.</w:t>
      </w:r>
    </w:p>
    <w:p w14:paraId="53DD8014" w14:textId="77777777" w:rsidR="00211117" w:rsidRDefault="00211117" w:rsidP="00211117">
      <w:pPr>
        <w:tabs>
          <w:tab w:val="left" w:pos="2610"/>
        </w:tabs>
        <w:jc w:val="both"/>
        <w:rPr>
          <w:rFonts w:ascii="Arial Narrow" w:hAnsi="Arial Narrow"/>
          <w:szCs w:val="24"/>
        </w:rPr>
      </w:pPr>
    </w:p>
    <w:p w14:paraId="73875B33" w14:textId="672491FC" w:rsidR="00211117" w:rsidRPr="00DA7A4A" w:rsidRDefault="00211117" w:rsidP="00461C4A">
      <w:pPr>
        <w:tabs>
          <w:tab w:val="left" w:pos="261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EE6D9B">
        <w:rPr>
          <w:rFonts w:asciiTheme="minorHAnsi" w:hAnsiTheme="minorHAnsi" w:cstheme="minorHAnsi"/>
          <w:b/>
          <w:sz w:val="22"/>
          <w:szCs w:val="22"/>
        </w:rPr>
        <w:t>Note</w:t>
      </w:r>
      <w:r w:rsidR="00312F83" w:rsidRPr="00EE6D9B">
        <w:rPr>
          <w:rFonts w:asciiTheme="minorHAnsi" w:hAnsiTheme="minorHAnsi" w:cstheme="minorHAnsi"/>
          <w:bCs/>
          <w:sz w:val="22"/>
          <w:szCs w:val="22"/>
        </w:rPr>
        <w:t>: Students</w:t>
      </w:r>
      <w:r w:rsidRPr="00EE6D9B">
        <w:rPr>
          <w:rFonts w:asciiTheme="minorHAnsi" w:hAnsiTheme="minorHAnsi" w:cstheme="minorHAnsi"/>
          <w:bCs/>
          <w:sz w:val="22"/>
          <w:szCs w:val="22"/>
        </w:rPr>
        <w:t xml:space="preserve"> may not earn proficiency credit for a course for which they have received credit; nor may they receive credit for courses which substantially overlap or are prerequisite to any in which they are enrolled or for which they have received credit. Normally, a student may attempt to gain proficiency credit for a particular course only once. </w:t>
      </w:r>
      <w:r w:rsidRPr="00EE6D9B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Pr="00DA7A4A">
        <w:rPr>
          <w:rFonts w:asciiTheme="minorHAnsi" w:hAnsiTheme="minorHAnsi" w:cstheme="minorHAnsi"/>
          <w:bCs/>
          <w:iCs/>
          <w:sz w:val="22"/>
          <w:szCs w:val="22"/>
        </w:rPr>
        <w:t>Academic Regulations) Proficiency Examinations, Northern Illinois University Undergraduate Bulletin.</w:t>
      </w:r>
    </w:p>
    <w:p w14:paraId="765CED4A" w14:textId="63D709F0" w:rsidR="00DA7A4A" w:rsidRPr="00F15631" w:rsidRDefault="00855151" w:rsidP="00F15631">
      <w:pPr>
        <w:pStyle w:val="Heading1"/>
        <w:rPr>
          <w:rFonts w:ascii="Aptos Display" w:hAnsi="Aptos Display"/>
          <w:color w:val="auto"/>
          <w:sz w:val="28"/>
          <w:szCs w:val="28"/>
        </w:rPr>
      </w:pPr>
      <w:r>
        <w:rPr>
          <w:rFonts w:ascii="Aptos Display" w:hAnsi="Aptos Display"/>
          <w:color w:val="auto"/>
          <w:sz w:val="28"/>
          <w:szCs w:val="28"/>
        </w:rPr>
        <w:t>R</w:t>
      </w:r>
      <w:r w:rsidRPr="00DA7A4A">
        <w:rPr>
          <w:rFonts w:ascii="Aptos Display" w:hAnsi="Aptos Display"/>
          <w:color w:val="auto"/>
          <w:sz w:val="28"/>
          <w:szCs w:val="28"/>
        </w:rPr>
        <w:t>egistration</w:t>
      </w:r>
    </w:p>
    <w:p w14:paraId="15EFFEEF" w14:textId="77777777" w:rsidR="00DA7A4A" w:rsidRPr="00461C4A" w:rsidRDefault="00DA7A4A" w:rsidP="00DA7A4A">
      <w:pPr>
        <w:pStyle w:val="NoSpacing"/>
        <w:rPr>
          <w:rFonts w:ascii="Calibri" w:hAnsi="Calibri" w:cs="Calibri"/>
          <w:sz w:val="22"/>
          <w:szCs w:val="22"/>
        </w:rPr>
      </w:pPr>
      <w:bookmarkStart w:id="0" w:name="_Hlk211585551"/>
      <w:r w:rsidRPr="00461C4A">
        <w:rPr>
          <w:rFonts w:ascii="Calibri" w:hAnsi="Calibri" w:cs="Calibri"/>
          <w:sz w:val="22"/>
          <w:szCs w:val="22"/>
        </w:rPr>
        <w:t xml:space="preserve">This exam must be scheduled in advance with </w:t>
      </w:r>
      <w:hyperlink r:id="rId8" w:history="1">
        <w:r w:rsidRPr="00461C4A">
          <w:rPr>
            <w:rStyle w:val="Hyperlink"/>
            <w:rFonts w:ascii="Calibri" w:hAnsi="Calibri" w:cs="Calibri"/>
            <w:sz w:val="22"/>
            <w:szCs w:val="22"/>
          </w:rPr>
          <w:t>Testing Services</w:t>
        </w:r>
      </w:hyperlink>
      <w:r w:rsidRPr="00461C4A">
        <w:rPr>
          <w:rFonts w:ascii="Calibri" w:hAnsi="Calibri" w:cs="Calibri"/>
          <w:sz w:val="22"/>
          <w:szCs w:val="22"/>
        </w:rPr>
        <w:t xml:space="preserve">, 815-753-1203, </w:t>
      </w:r>
      <w:hyperlink r:id="rId9" w:history="1">
        <w:r w:rsidRPr="00461C4A">
          <w:rPr>
            <w:rStyle w:val="Hyperlink"/>
            <w:rFonts w:ascii="Calibri" w:hAnsi="Calibri" w:cs="Calibri"/>
            <w:sz w:val="22"/>
            <w:szCs w:val="22"/>
          </w:rPr>
          <w:t>testing@niu.edu</w:t>
        </w:r>
      </w:hyperlink>
      <w:bookmarkEnd w:id="0"/>
      <w:r w:rsidRPr="00461C4A">
        <w:rPr>
          <w:rFonts w:ascii="Calibri" w:hAnsi="Calibri" w:cs="Calibri"/>
          <w:sz w:val="22"/>
          <w:szCs w:val="22"/>
        </w:rPr>
        <w:t>.</w:t>
      </w:r>
    </w:p>
    <w:p w14:paraId="670E968B" w14:textId="77777777" w:rsidR="00211117" w:rsidRPr="00DA7A4A" w:rsidRDefault="00211117" w:rsidP="00312F83">
      <w:pPr>
        <w:jc w:val="both"/>
        <w:rPr>
          <w:rFonts w:asciiTheme="minorHAnsi" w:hAnsiTheme="minorHAnsi" w:cstheme="minorHAnsi"/>
          <w:bCs/>
          <w:szCs w:val="24"/>
        </w:rPr>
      </w:pPr>
    </w:p>
    <w:p w14:paraId="2EA288BA" w14:textId="77777777" w:rsidR="00DA7A4A" w:rsidRPr="00FD5134" w:rsidRDefault="00DA7A4A" w:rsidP="00DA7A4A">
      <w:pPr>
        <w:pStyle w:val="NoSpacing"/>
        <w:rPr>
          <w:rFonts w:ascii="Calibri" w:hAnsi="Calibri" w:cs="Calibri"/>
          <w:sz w:val="22"/>
          <w:szCs w:val="22"/>
        </w:rPr>
      </w:pPr>
      <w:r w:rsidRPr="00FD5134">
        <w:rPr>
          <w:rFonts w:ascii="Calibri" w:hAnsi="Calibri" w:cs="Calibri"/>
          <w:sz w:val="22"/>
          <w:szCs w:val="22"/>
        </w:rPr>
        <w:t>Examinees must bring valid photo identification to the examination.</w:t>
      </w:r>
    </w:p>
    <w:p w14:paraId="49350B10" w14:textId="66FBC590" w:rsidR="00DA7A4A" w:rsidRPr="00F15631" w:rsidRDefault="00855151" w:rsidP="00F15631">
      <w:pPr>
        <w:pStyle w:val="Heading1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color w:val="auto"/>
          <w:sz w:val="28"/>
          <w:szCs w:val="28"/>
        </w:rPr>
        <w:t>R</w:t>
      </w:r>
      <w:r w:rsidRPr="00DA7A4A">
        <w:rPr>
          <w:rFonts w:ascii="Aptos Display" w:hAnsi="Aptos Display"/>
          <w:color w:val="auto"/>
          <w:sz w:val="28"/>
          <w:szCs w:val="28"/>
        </w:rPr>
        <w:t>esults</w:t>
      </w:r>
    </w:p>
    <w:p w14:paraId="3F8D4148" w14:textId="7E5C73AB" w:rsidR="00211117" w:rsidRPr="00F15631" w:rsidRDefault="00211117" w:rsidP="00312F83">
      <w:pPr>
        <w:jc w:val="both"/>
        <w:rPr>
          <w:rFonts w:asciiTheme="minorHAnsi" w:hAnsiTheme="minorHAnsi" w:cstheme="minorHAnsi"/>
          <w:sz w:val="22"/>
          <w:szCs w:val="22"/>
        </w:rPr>
      </w:pPr>
      <w:r w:rsidRPr="00461C4A">
        <w:rPr>
          <w:rFonts w:asciiTheme="minorHAnsi" w:hAnsiTheme="minorHAnsi" w:cstheme="minorHAnsi"/>
          <w:sz w:val="22"/>
          <w:szCs w:val="22"/>
        </w:rPr>
        <w:t>Examination results will be available immediately following completion of the exam.</w:t>
      </w:r>
    </w:p>
    <w:p w14:paraId="662F4FD1" w14:textId="4BA53A37" w:rsidR="00855151" w:rsidRPr="00F15631" w:rsidRDefault="00855151" w:rsidP="00F15631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DA7A4A">
        <w:rPr>
          <w:rFonts w:ascii="Aptos Display" w:hAnsi="Aptos Display"/>
          <w:color w:val="auto"/>
          <w:sz w:val="28"/>
          <w:szCs w:val="28"/>
        </w:rPr>
        <w:t xml:space="preserve">Study </w:t>
      </w:r>
      <w:r>
        <w:rPr>
          <w:rFonts w:ascii="Aptos Display" w:hAnsi="Aptos Display"/>
          <w:color w:val="auto"/>
          <w:sz w:val="28"/>
          <w:szCs w:val="28"/>
        </w:rPr>
        <w:t>M</w:t>
      </w:r>
      <w:r w:rsidRPr="00DA7A4A">
        <w:rPr>
          <w:rFonts w:ascii="Aptos Display" w:hAnsi="Aptos Display"/>
          <w:color w:val="auto"/>
          <w:sz w:val="28"/>
          <w:szCs w:val="28"/>
        </w:rPr>
        <w:t>aterials</w:t>
      </w:r>
    </w:p>
    <w:p w14:paraId="290E390E" w14:textId="01014E5C" w:rsidR="00211117" w:rsidRPr="00855151" w:rsidRDefault="00211117" w:rsidP="00855151">
      <w:pPr>
        <w:jc w:val="both"/>
        <w:rPr>
          <w:rFonts w:asciiTheme="minorHAnsi" w:hAnsiTheme="minorHAnsi" w:cstheme="minorHAnsi"/>
          <w:sz w:val="22"/>
          <w:szCs w:val="22"/>
        </w:rPr>
      </w:pPr>
      <w:r w:rsidRPr="00855151">
        <w:rPr>
          <w:rFonts w:asciiTheme="minorHAnsi" w:hAnsiTheme="minorHAnsi" w:cstheme="minorHAnsi"/>
          <w:sz w:val="22"/>
          <w:szCs w:val="22"/>
        </w:rPr>
        <w:t xml:space="preserve">Garman, E.T. (1996). </w:t>
      </w:r>
      <w:r w:rsidRPr="00855151">
        <w:rPr>
          <w:rFonts w:asciiTheme="minorHAnsi" w:hAnsiTheme="minorHAnsi" w:cstheme="minorHAnsi"/>
          <w:iCs/>
          <w:sz w:val="22"/>
          <w:szCs w:val="22"/>
        </w:rPr>
        <w:t>Consumer Economic Issues in America</w:t>
      </w:r>
      <w:r w:rsidRPr="00855151">
        <w:rPr>
          <w:rFonts w:asciiTheme="minorHAnsi" w:hAnsiTheme="minorHAnsi" w:cstheme="minorHAnsi"/>
          <w:sz w:val="22"/>
          <w:szCs w:val="22"/>
        </w:rPr>
        <w:t>.  Houston: Dame Publications.</w:t>
      </w:r>
    </w:p>
    <w:p w14:paraId="0444F335" w14:textId="0C74192C" w:rsidR="00312F83" w:rsidRPr="00312F83" w:rsidRDefault="00211117" w:rsidP="00312F83">
      <w:pPr>
        <w:jc w:val="both"/>
        <w:rPr>
          <w:rFonts w:asciiTheme="minorHAnsi" w:hAnsiTheme="minorHAnsi" w:cstheme="minorHAnsi"/>
          <w:sz w:val="22"/>
          <w:szCs w:val="22"/>
        </w:rPr>
      </w:pPr>
      <w:r w:rsidRPr="00312F83">
        <w:rPr>
          <w:rFonts w:asciiTheme="minorHAnsi" w:hAnsiTheme="minorHAnsi" w:cstheme="minorHAnsi"/>
          <w:sz w:val="22"/>
          <w:szCs w:val="22"/>
        </w:rPr>
        <w:t xml:space="preserve">This is an excellent textbook which would be helpful to study while preparing for the exam.  </w:t>
      </w:r>
    </w:p>
    <w:p w14:paraId="5A916C23" w14:textId="4015E56F" w:rsidR="00B76E8A" w:rsidRPr="00855151" w:rsidRDefault="00211117" w:rsidP="00855151">
      <w:pPr>
        <w:jc w:val="both"/>
        <w:rPr>
          <w:rFonts w:asciiTheme="minorHAnsi" w:hAnsiTheme="minorHAnsi" w:cstheme="minorHAnsi"/>
          <w:sz w:val="22"/>
          <w:szCs w:val="22"/>
        </w:rPr>
      </w:pPr>
      <w:r w:rsidRPr="00312F83">
        <w:rPr>
          <w:rFonts w:asciiTheme="minorHAnsi" w:hAnsiTheme="minorHAnsi" w:cstheme="minorHAnsi"/>
          <w:sz w:val="22"/>
          <w:szCs w:val="22"/>
        </w:rPr>
        <w:t>It</w:t>
      </w:r>
      <w:r w:rsidR="00312F83" w:rsidRPr="00312F83">
        <w:rPr>
          <w:rFonts w:asciiTheme="minorHAnsi" w:hAnsiTheme="minorHAnsi" w:cstheme="minorHAnsi"/>
          <w:sz w:val="22"/>
          <w:szCs w:val="22"/>
        </w:rPr>
        <w:t xml:space="preserve"> </w:t>
      </w:r>
      <w:r w:rsidRPr="00312F83">
        <w:rPr>
          <w:rFonts w:asciiTheme="minorHAnsi" w:hAnsiTheme="minorHAnsi" w:cstheme="minorHAnsi"/>
          <w:sz w:val="22"/>
          <w:szCs w:val="22"/>
        </w:rPr>
        <w:t>i</w:t>
      </w:r>
      <w:r w:rsidR="0021284B" w:rsidRPr="00312F83">
        <w:rPr>
          <w:rFonts w:asciiTheme="minorHAnsi" w:hAnsiTheme="minorHAnsi" w:cstheme="minorHAnsi"/>
          <w:sz w:val="22"/>
          <w:szCs w:val="22"/>
        </w:rPr>
        <w:t xml:space="preserve">s available in the NIU library </w:t>
      </w:r>
      <w:r w:rsidRPr="00312F83">
        <w:rPr>
          <w:rFonts w:asciiTheme="minorHAnsi" w:hAnsiTheme="minorHAnsi" w:cstheme="minorHAnsi"/>
          <w:sz w:val="22"/>
          <w:szCs w:val="22"/>
        </w:rPr>
        <w:t>(reserve room).</w:t>
      </w:r>
    </w:p>
    <w:p w14:paraId="0C47554B" w14:textId="2B4A7EA3" w:rsidR="004E0FD7" w:rsidRPr="00DA7A4A" w:rsidRDefault="00855151" w:rsidP="00DA7A4A">
      <w:pPr>
        <w:pStyle w:val="Heading1"/>
        <w:rPr>
          <w:rFonts w:ascii="Aptos Display" w:hAnsi="Aptos Display"/>
          <w:color w:val="auto"/>
          <w:sz w:val="28"/>
          <w:szCs w:val="28"/>
        </w:rPr>
      </w:pPr>
      <w:r w:rsidRPr="00DA7A4A">
        <w:rPr>
          <w:rFonts w:ascii="Aptos Display" w:hAnsi="Aptos Display"/>
          <w:color w:val="auto"/>
          <w:sz w:val="28"/>
          <w:szCs w:val="28"/>
        </w:rPr>
        <w:t xml:space="preserve">Areas to </w:t>
      </w:r>
      <w:r>
        <w:rPr>
          <w:rFonts w:ascii="Aptos Display" w:hAnsi="Aptos Display"/>
          <w:color w:val="auto"/>
          <w:sz w:val="28"/>
          <w:szCs w:val="28"/>
        </w:rPr>
        <w:t>B</w:t>
      </w:r>
      <w:r w:rsidRPr="00DA7A4A">
        <w:rPr>
          <w:rFonts w:ascii="Aptos Display" w:hAnsi="Aptos Display"/>
          <w:color w:val="auto"/>
          <w:sz w:val="28"/>
          <w:szCs w:val="28"/>
        </w:rPr>
        <w:t xml:space="preserve">e </w:t>
      </w:r>
      <w:r>
        <w:rPr>
          <w:rFonts w:ascii="Aptos Display" w:hAnsi="Aptos Display"/>
          <w:color w:val="auto"/>
          <w:sz w:val="28"/>
          <w:szCs w:val="28"/>
        </w:rPr>
        <w:t>C</w:t>
      </w:r>
      <w:r w:rsidRPr="00DA7A4A">
        <w:rPr>
          <w:rFonts w:ascii="Aptos Display" w:hAnsi="Aptos Display"/>
          <w:color w:val="auto"/>
          <w:sz w:val="28"/>
          <w:szCs w:val="28"/>
        </w:rPr>
        <w:t>overed</w:t>
      </w:r>
    </w:p>
    <w:p w14:paraId="46ECF5BD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Consumer interest</w:t>
      </w:r>
    </w:p>
    <w:p w14:paraId="0B9C31A0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bCs/>
          <w:sz w:val="22"/>
          <w:szCs w:val="22"/>
        </w:rPr>
        <w:t>T</w:t>
      </w:r>
      <w:r w:rsidRPr="004E0FD7">
        <w:rPr>
          <w:rFonts w:ascii="Calibri" w:hAnsi="Calibri" w:cs="Calibri"/>
          <w:sz w:val="22"/>
          <w:szCs w:val="22"/>
        </w:rPr>
        <w:t>he Consumer Movement</w:t>
      </w:r>
    </w:p>
    <w:p w14:paraId="02287210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Consumer rights, responsibilities, and remedies</w:t>
      </w:r>
    </w:p>
    <w:p w14:paraId="64AC865C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Rip-offs and frauds in the marketplace</w:t>
      </w:r>
    </w:p>
    <w:p w14:paraId="49AB5A41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Laws that help consumers</w:t>
      </w:r>
    </w:p>
    <w:p w14:paraId="4DB2507F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The capitalistic American marketplace</w:t>
      </w:r>
    </w:p>
    <w:p w14:paraId="4CC6ECA8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lastRenderedPageBreak/>
        <w:t>Economic concepts critical to consumer success</w:t>
      </w:r>
    </w:p>
    <w:p w14:paraId="0671BEAE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Consumers in the global marketplace</w:t>
      </w:r>
    </w:p>
    <w:p w14:paraId="54ACBDED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The planned buying process</w:t>
      </w:r>
    </w:p>
    <w:p w14:paraId="01FF0717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Food issues</w:t>
      </w:r>
    </w:p>
    <w:p w14:paraId="2FBFB69A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Health care issues</w:t>
      </w:r>
    </w:p>
    <w:p w14:paraId="68CD0318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Product safety issues</w:t>
      </w:r>
    </w:p>
    <w:p w14:paraId="1BFC95B3" w14:textId="77777777" w:rsidR="004E0FD7" w:rsidRPr="004E0FD7" w:rsidRDefault="004E0FD7" w:rsidP="00DA7A4A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Banking, credit, and housing issues</w:t>
      </w:r>
    </w:p>
    <w:p w14:paraId="13949A37" w14:textId="0A1C9CDD" w:rsidR="004E0FD7" w:rsidRPr="00F15631" w:rsidRDefault="004E0FD7" w:rsidP="004E0FD7">
      <w:pPr>
        <w:pStyle w:val="ListParagraph"/>
        <w:numPr>
          <w:ilvl w:val="0"/>
          <w:numId w:val="7"/>
        </w:numPr>
        <w:tabs>
          <w:tab w:val="left" w:pos="2610"/>
          <w:tab w:val="left" w:pos="2700"/>
          <w:tab w:val="left" w:pos="2790"/>
          <w:tab w:val="left" w:pos="2970"/>
        </w:tabs>
        <w:rPr>
          <w:rFonts w:ascii="Calibri" w:hAnsi="Calibri" w:cs="Calibri"/>
          <w:bCs/>
          <w:sz w:val="22"/>
          <w:szCs w:val="22"/>
        </w:rPr>
      </w:pPr>
      <w:r w:rsidRPr="004E0FD7">
        <w:rPr>
          <w:rFonts w:ascii="Calibri" w:hAnsi="Calibri" w:cs="Calibri"/>
          <w:sz w:val="22"/>
          <w:szCs w:val="22"/>
        </w:rPr>
        <w:t>Insurance and investment issues</w:t>
      </w:r>
    </w:p>
    <w:sectPr w:rsidR="004E0FD7" w:rsidRPr="00F15631" w:rsidSect="00EE6D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7FD5" w14:textId="77777777" w:rsidR="004513A6" w:rsidRDefault="004513A6" w:rsidP="0021284B">
      <w:r>
        <w:separator/>
      </w:r>
    </w:p>
  </w:endnote>
  <w:endnote w:type="continuationSeparator" w:id="0">
    <w:p w14:paraId="480D77FF" w14:textId="77777777" w:rsidR="004513A6" w:rsidRDefault="004513A6" w:rsidP="0021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DEC" w14:textId="79F290E3" w:rsidR="00103CB8" w:rsidRPr="00103CB8" w:rsidRDefault="00103CB8">
    <w:pPr>
      <w:pStyle w:val="Footer"/>
      <w:rPr>
        <w:sz w:val="22"/>
        <w:szCs w:val="22"/>
      </w:rPr>
    </w:pPr>
    <w:r w:rsidRPr="00103CB8">
      <w:rPr>
        <w:sz w:val="22"/>
        <w:szCs w:val="22"/>
      </w:rPr>
      <w:t xml:space="preserve">Revised </w:t>
    </w:r>
    <w:r w:rsidR="00FA770C">
      <w:rPr>
        <w:sz w:val="22"/>
        <w:szCs w:val="22"/>
      </w:rPr>
      <w:t>10/1</w:t>
    </w:r>
    <w:r w:rsidR="00DA7A4A">
      <w:rPr>
        <w:sz w:val="22"/>
        <w:szCs w:val="22"/>
      </w:rPr>
      <w:t>7</w:t>
    </w:r>
    <w:r w:rsidRPr="00103CB8">
      <w:rPr>
        <w:sz w:val="22"/>
        <w:szCs w:val="22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DDA2" w14:textId="77777777" w:rsidR="004513A6" w:rsidRDefault="004513A6" w:rsidP="0021284B">
      <w:r>
        <w:separator/>
      </w:r>
    </w:p>
  </w:footnote>
  <w:footnote w:type="continuationSeparator" w:id="0">
    <w:p w14:paraId="59644B41" w14:textId="77777777" w:rsidR="004513A6" w:rsidRDefault="004513A6" w:rsidP="0021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50E"/>
    <w:multiLevelType w:val="hybridMultilevel"/>
    <w:tmpl w:val="2FFC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31D"/>
    <w:multiLevelType w:val="hybridMultilevel"/>
    <w:tmpl w:val="C8527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5A32"/>
    <w:multiLevelType w:val="hybridMultilevel"/>
    <w:tmpl w:val="407C3B2C"/>
    <w:lvl w:ilvl="0" w:tplc="AA4A6746">
      <w:start w:val="2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3" w15:restartNumberingAfterBreak="0">
    <w:nsid w:val="4878629F"/>
    <w:multiLevelType w:val="hybridMultilevel"/>
    <w:tmpl w:val="90D84A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E2263E"/>
    <w:multiLevelType w:val="hybridMultilevel"/>
    <w:tmpl w:val="A5AA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10F54"/>
    <w:multiLevelType w:val="hybridMultilevel"/>
    <w:tmpl w:val="83E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E65"/>
    <w:multiLevelType w:val="hybridMultilevel"/>
    <w:tmpl w:val="F7EA6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40FC0"/>
    <w:multiLevelType w:val="hybridMultilevel"/>
    <w:tmpl w:val="DBBA0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89401">
    <w:abstractNumId w:val="2"/>
  </w:num>
  <w:num w:numId="2" w16cid:durableId="387648133">
    <w:abstractNumId w:val="5"/>
  </w:num>
  <w:num w:numId="3" w16cid:durableId="1863742523">
    <w:abstractNumId w:val="3"/>
  </w:num>
  <w:num w:numId="4" w16cid:durableId="1632902471">
    <w:abstractNumId w:val="6"/>
  </w:num>
  <w:num w:numId="5" w16cid:durableId="843252414">
    <w:abstractNumId w:val="7"/>
  </w:num>
  <w:num w:numId="6" w16cid:durableId="56588352">
    <w:abstractNumId w:val="1"/>
  </w:num>
  <w:num w:numId="7" w16cid:durableId="1951744237">
    <w:abstractNumId w:val="0"/>
  </w:num>
  <w:num w:numId="8" w16cid:durableId="303588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17"/>
    <w:rsid w:val="00103CB8"/>
    <w:rsid w:val="00211117"/>
    <w:rsid w:val="0021284B"/>
    <w:rsid w:val="00312F83"/>
    <w:rsid w:val="004513A6"/>
    <w:rsid w:val="00461C4A"/>
    <w:rsid w:val="004B469D"/>
    <w:rsid w:val="004E0FD7"/>
    <w:rsid w:val="00502B67"/>
    <w:rsid w:val="00673A4F"/>
    <w:rsid w:val="00691DDB"/>
    <w:rsid w:val="00817404"/>
    <w:rsid w:val="00855151"/>
    <w:rsid w:val="00A66A4F"/>
    <w:rsid w:val="00AA6579"/>
    <w:rsid w:val="00B5193B"/>
    <w:rsid w:val="00B76E8A"/>
    <w:rsid w:val="00BE23A5"/>
    <w:rsid w:val="00DA7A4A"/>
    <w:rsid w:val="00DF6F22"/>
    <w:rsid w:val="00EB68E0"/>
    <w:rsid w:val="00EE6D9B"/>
    <w:rsid w:val="00F15631"/>
    <w:rsid w:val="00F42E2F"/>
    <w:rsid w:val="00F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0C7D4"/>
  <w15:chartTrackingRefBased/>
  <w15:docId w15:val="{FE355BE7-20BF-4C1E-8BC1-E54EBCA7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A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11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CB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3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CB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77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7A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A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A7A4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A7A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A7A4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A7A4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test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sting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1745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Bross</dc:creator>
  <cp:keywords/>
  <dc:description/>
  <cp:lastModifiedBy>Brandon Dai</cp:lastModifiedBy>
  <cp:revision>6</cp:revision>
  <dcterms:created xsi:type="dcterms:W3CDTF">2025-10-17T16:47:00Z</dcterms:created>
  <dcterms:modified xsi:type="dcterms:W3CDTF">2025-10-20T14:41:00Z</dcterms:modified>
</cp:coreProperties>
</file>