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E79C" w14:textId="734CFDE3" w:rsidR="00261DC7" w:rsidRPr="002552CB" w:rsidRDefault="00BF3FA2" w:rsidP="002552CB">
      <w:pPr>
        <w:pStyle w:val="Title"/>
        <w:rPr>
          <w:sz w:val="48"/>
          <w:szCs w:val="48"/>
        </w:rPr>
      </w:pPr>
      <w:r w:rsidRPr="002552CB">
        <w:rPr>
          <w:sz w:val="48"/>
          <w:szCs w:val="48"/>
        </w:rPr>
        <w:t>Guidance Memo: Tuition Remission</w:t>
      </w:r>
      <w:r w:rsidR="009A6ED6" w:rsidRPr="002552CB">
        <w:rPr>
          <w:sz w:val="48"/>
          <w:szCs w:val="48"/>
        </w:rPr>
        <w:t xml:space="preserve"> on Sponsored Awards</w:t>
      </w:r>
    </w:p>
    <w:p w14:paraId="3CFD5344" w14:textId="77777777" w:rsidR="00FD00D8" w:rsidRPr="002552CB" w:rsidRDefault="00FD00D8" w:rsidP="00FD00D8">
      <w:pPr>
        <w:rPr>
          <w:rFonts w:cstheme="minorHAnsi"/>
        </w:rPr>
      </w:pPr>
    </w:p>
    <w:p w14:paraId="0B0AAE28" w14:textId="5F3372C8" w:rsidR="00261DC7" w:rsidRPr="00E543B1" w:rsidRDefault="00261DC7" w:rsidP="00FD00D8">
      <w:pPr>
        <w:pStyle w:val="NoSpacing"/>
        <w:rPr>
          <w:rFonts w:cstheme="minorHAnsi"/>
        </w:rPr>
      </w:pPr>
      <w:r w:rsidRPr="00E543B1">
        <w:rPr>
          <w:rFonts w:cstheme="minorHAnsi"/>
          <w:b/>
          <w:bCs/>
        </w:rPr>
        <w:t xml:space="preserve">Responsible </w:t>
      </w:r>
      <w:r w:rsidR="002552CB" w:rsidRPr="00E543B1">
        <w:rPr>
          <w:rFonts w:cstheme="minorHAnsi"/>
          <w:b/>
          <w:bCs/>
        </w:rPr>
        <w:t>o</w:t>
      </w:r>
      <w:r w:rsidRPr="00E543B1">
        <w:rPr>
          <w:rFonts w:cstheme="minorHAnsi"/>
          <w:b/>
          <w:bCs/>
        </w:rPr>
        <w:t>ffice</w:t>
      </w:r>
      <w:r w:rsidRPr="00E543B1">
        <w:rPr>
          <w:rFonts w:cstheme="minorHAnsi"/>
        </w:rPr>
        <w:t>:</w:t>
      </w:r>
      <w:r w:rsidR="00F25B11" w:rsidRPr="00E543B1">
        <w:rPr>
          <w:rFonts w:cstheme="minorHAnsi"/>
        </w:rPr>
        <w:t xml:space="preserve"> Sponsored Programs Administration</w:t>
      </w:r>
    </w:p>
    <w:p w14:paraId="33C7E3D0" w14:textId="1D51A6D8" w:rsidR="00261DC7" w:rsidRPr="00E543B1" w:rsidRDefault="00261DC7" w:rsidP="00FD00D8">
      <w:pPr>
        <w:pStyle w:val="NoSpacing"/>
        <w:rPr>
          <w:rFonts w:cstheme="minorHAnsi"/>
        </w:rPr>
      </w:pPr>
      <w:r w:rsidRPr="00E543B1">
        <w:rPr>
          <w:rFonts w:cstheme="minorHAnsi"/>
          <w:b/>
          <w:bCs/>
        </w:rPr>
        <w:t xml:space="preserve">Responsible </w:t>
      </w:r>
      <w:r w:rsidR="002552CB" w:rsidRPr="00E543B1">
        <w:rPr>
          <w:rFonts w:cstheme="minorHAnsi"/>
          <w:b/>
          <w:bCs/>
        </w:rPr>
        <w:t>o</w:t>
      </w:r>
      <w:r w:rsidRPr="00E543B1">
        <w:rPr>
          <w:rFonts w:cstheme="minorHAnsi"/>
          <w:b/>
          <w:bCs/>
        </w:rPr>
        <w:t>fficer</w:t>
      </w:r>
      <w:r w:rsidR="00AF434F" w:rsidRPr="00E543B1">
        <w:rPr>
          <w:rFonts w:cstheme="minorHAnsi"/>
          <w:b/>
          <w:bCs/>
        </w:rPr>
        <w:t xml:space="preserve"> (title only)</w:t>
      </w:r>
      <w:r w:rsidRPr="00E543B1">
        <w:rPr>
          <w:rFonts w:cstheme="minorHAnsi"/>
        </w:rPr>
        <w:t xml:space="preserve">: </w:t>
      </w:r>
      <w:r w:rsidR="00856637" w:rsidRPr="00E543B1">
        <w:rPr>
          <w:rFonts w:cstheme="minorHAnsi"/>
        </w:rPr>
        <w:t xml:space="preserve"> </w:t>
      </w:r>
      <w:r w:rsidR="00BF302A" w:rsidRPr="00E543B1">
        <w:rPr>
          <w:rFonts w:cstheme="minorHAnsi"/>
        </w:rPr>
        <w:t xml:space="preserve">Associate </w:t>
      </w:r>
      <w:r w:rsidR="00631A9A" w:rsidRPr="00E543B1">
        <w:rPr>
          <w:rFonts w:cstheme="minorHAnsi"/>
        </w:rPr>
        <w:t>Vice President for Research</w:t>
      </w:r>
      <w:r w:rsidR="00BF3FA2" w:rsidRPr="00E543B1">
        <w:rPr>
          <w:rFonts w:cstheme="minorHAnsi"/>
        </w:rPr>
        <w:t xml:space="preserve"> </w:t>
      </w:r>
      <w:r w:rsidR="00BF0FC6" w:rsidRPr="00E543B1">
        <w:rPr>
          <w:rFonts w:cstheme="minorHAnsi"/>
        </w:rPr>
        <w:t>and Innovation Partnerships</w:t>
      </w:r>
    </w:p>
    <w:p w14:paraId="167B6DA5" w14:textId="569F2075" w:rsidR="00261DC7" w:rsidRPr="00E543B1" w:rsidRDefault="00261DC7" w:rsidP="00FD00D8">
      <w:pPr>
        <w:pStyle w:val="NoSpacing"/>
        <w:rPr>
          <w:rFonts w:cstheme="minorHAnsi"/>
        </w:rPr>
      </w:pPr>
      <w:r w:rsidRPr="00E543B1">
        <w:rPr>
          <w:rFonts w:cstheme="minorHAnsi"/>
          <w:b/>
          <w:bCs/>
        </w:rPr>
        <w:t xml:space="preserve">Contact </w:t>
      </w:r>
      <w:r w:rsidR="002552CB" w:rsidRPr="00E543B1">
        <w:rPr>
          <w:rFonts w:cstheme="minorHAnsi"/>
          <w:b/>
          <w:bCs/>
        </w:rPr>
        <w:t>p</w:t>
      </w:r>
      <w:r w:rsidRPr="00E543B1">
        <w:rPr>
          <w:rFonts w:cstheme="minorHAnsi"/>
          <w:b/>
          <w:bCs/>
        </w:rPr>
        <w:t>erson</w:t>
      </w:r>
      <w:r w:rsidRPr="00E543B1">
        <w:rPr>
          <w:rFonts w:cstheme="minorHAnsi"/>
        </w:rPr>
        <w:t xml:space="preserve">: </w:t>
      </w:r>
      <w:r w:rsidR="00272831" w:rsidRPr="00E543B1">
        <w:rPr>
          <w:rFonts w:cstheme="minorHAnsi"/>
        </w:rPr>
        <w:t>Carrie Blackwood-Williams, Director, Sponsored Programs Administration</w:t>
      </w:r>
    </w:p>
    <w:p w14:paraId="5DB5BFEB" w14:textId="575C2354" w:rsidR="0026690D" w:rsidRPr="00E543B1" w:rsidRDefault="0026690D" w:rsidP="00FD00D8">
      <w:pPr>
        <w:pStyle w:val="NoSpacing"/>
        <w:rPr>
          <w:rFonts w:cstheme="minorHAnsi"/>
        </w:rPr>
      </w:pPr>
      <w:r w:rsidRPr="00E543B1">
        <w:rPr>
          <w:rFonts w:cstheme="minorHAnsi"/>
          <w:b/>
          <w:bCs/>
        </w:rPr>
        <w:t xml:space="preserve">Initial </w:t>
      </w:r>
      <w:r w:rsidR="002552CB" w:rsidRPr="00E543B1">
        <w:rPr>
          <w:rFonts w:cstheme="minorHAnsi"/>
          <w:b/>
          <w:bCs/>
        </w:rPr>
        <w:t>d</w:t>
      </w:r>
      <w:r w:rsidR="007D0EDD" w:rsidRPr="00E543B1">
        <w:rPr>
          <w:rFonts w:cstheme="minorHAnsi"/>
          <w:b/>
          <w:bCs/>
        </w:rPr>
        <w:t>ate</w:t>
      </w:r>
      <w:r w:rsidR="007D0EDD" w:rsidRPr="00E543B1">
        <w:rPr>
          <w:rFonts w:cstheme="minorHAnsi"/>
        </w:rPr>
        <w:t>:</w:t>
      </w:r>
      <w:r w:rsidR="008916E6" w:rsidRPr="00E543B1">
        <w:rPr>
          <w:rFonts w:cstheme="minorHAnsi"/>
        </w:rPr>
        <w:t xml:space="preserve"> 12/07/2008</w:t>
      </w:r>
    </w:p>
    <w:p w14:paraId="07AD7007" w14:textId="72F5ED70" w:rsidR="007D0EDD" w:rsidRPr="00E543B1" w:rsidRDefault="005328A9" w:rsidP="00FD00D8">
      <w:pPr>
        <w:pStyle w:val="NoSpacing"/>
        <w:rPr>
          <w:rFonts w:cstheme="minorHAnsi"/>
        </w:rPr>
      </w:pPr>
      <w:r w:rsidRPr="00E543B1">
        <w:rPr>
          <w:rFonts w:cstheme="minorHAnsi"/>
          <w:b/>
          <w:bCs/>
        </w:rPr>
        <w:t>Review</w:t>
      </w:r>
      <w:r w:rsidR="0026690D" w:rsidRPr="00E543B1">
        <w:rPr>
          <w:rFonts w:cstheme="minorHAnsi"/>
          <w:b/>
          <w:bCs/>
        </w:rPr>
        <w:t xml:space="preserve"> </w:t>
      </w:r>
      <w:r w:rsidR="002552CB" w:rsidRPr="00E543B1">
        <w:rPr>
          <w:rFonts w:cstheme="minorHAnsi"/>
          <w:b/>
          <w:bCs/>
        </w:rPr>
        <w:t>d</w:t>
      </w:r>
      <w:r w:rsidR="0026690D" w:rsidRPr="00E543B1">
        <w:rPr>
          <w:rFonts w:cstheme="minorHAnsi"/>
          <w:b/>
          <w:bCs/>
        </w:rPr>
        <w:t>ate</w:t>
      </w:r>
      <w:r w:rsidR="0026690D" w:rsidRPr="00E543B1">
        <w:rPr>
          <w:rFonts w:cstheme="minorHAnsi"/>
        </w:rPr>
        <w:t>:</w:t>
      </w:r>
      <w:r w:rsidR="008916E6" w:rsidRPr="00E543B1">
        <w:rPr>
          <w:rFonts w:cstheme="minorHAnsi"/>
        </w:rPr>
        <w:t xml:space="preserve"> </w:t>
      </w:r>
      <w:r w:rsidR="00942F79" w:rsidRPr="00E543B1">
        <w:rPr>
          <w:rFonts w:cstheme="minorHAnsi"/>
        </w:rPr>
        <w:t>3/3/2025</w:t>
      </w:r>
      <w:r w:rsidR="0057648A" w:rsidRPr="00E543B1">
        <w:rPr>
          <w:rFonts w:cstheme="minorHAnsi"/>
        </w:rPr>
        <w:t xml:space="preserve"> </w:t>
      </w:r>
    </w:p>
    <w:p w14:paraId="1D39B0B2" w14:textId="0328E2F7" w:rsidR="005328A9" w:rsidRPr="00E543B1" w:rsidRDefault="005328A9" w:rsidP="00FD00D8">
      <w:pPr>
        <w:pStyle w:val="NoSpacing"/>
        <w:rPr>
          <w:rFonts w:cstheme="minorHAnsi"/>
        </w:rPr>
      </w:pPr>
      <w:r w:rsidRPr="00E543B1">
        <w:rPr>
          <w:rFonts w:cstheme="minorHAnsi"/>
          <w:b/>
          <w:bCs/>
        </w:rPr>
        <w:t xml:space="preserve">Revision </w:t>
      </w:r>
      <w:r w:rsidR="002552CB" w:rsidRPr="00E543B1">
        <w:rPr>
          <w:rFonts w:cstheme="minorHAnsi"/>
          <w:b/>
          <w:bCs/>
        </w:rPr>
        <w:t>d</w:t>
      </w:r>
      <w:r w:rsidRPr="00E543B1">
        <w:rPr>
          <w:rFonts w:cstheme="minorHAnsi"/>
          <w:b/>
          <w:bCs/>
        </w:rPr>
        <w:t>ate</w:t>
      </w:r>
      <w:r w:rsidRPr="00E543B1">
        <w:rPr>
          <w:rFonts w:cstheme="minorHAnsi"/>
        </w:rPr>
        <w:t>:</w:t>
      </w:r>
      <w:r w:rsidR="00942F79" w:rsidRPr="00E543B1">
        <w:rPr>
          <w:rFonts w:cstheme="minorHAnsi"/>
        </w:rPr>
        <w:t xml:space="preserve"> 3/3/2025</w:t>
      </w:r>
    </w:p>
    <w:p w14:paraId="33563702" w14:textId="3E093C14" w:rsidR="0080194E" w:rsidRPr="00E543B1" w:rsidRDefault="002C1338" w:rsidP="00FD00D8">
      <w:pPr>
        <w:pStyle w:val="NoSpacing"/>
        <w:rPr>
          <w:rFonts w:cstheme="minorHAnsi"/>
        </w:rPr>
      </w:pPr>
      <w:r w:rsidRPr="00E543B1">
        <w:rPr>
          <w:rFonts w:cstheme="minorHAnsi"/>
          <w:b/>
          <w:bCs/>
        </w:rPr>
        <w:t xml:space="preserve">University </w:t>
      </w:r>
      <w:r w:rsidR="002552CB" w:rsidRPr="00E543B1">
        <w:rPr>
          <w:rFonts w:cstheme="minorHAnsi"/>
          <w:b/>
          <w:bCs/>
        </w:rPr>
        <w:t>p</w:t>
      </w:r>
      <w:r w:rsidRPr="00E543B1">
        <w:rPr>
          <w:rFonts w:cstheme="minorHAnsi"/>
          <w:b/>
          <w:bCs/>
        </w:rPr>
        <w:t xml:space="preserve">olicy </w:t>
      </w:r>
      <w:r w:rsidR="002552CB" w:rsidRPr="00E543B1">
        <w:rPr>
          <w:rFonts w:cstheme="minorHAnsi"/>
          <w:b/>
          <w:bCs/>
        </w:rPr>
        <w:t>r</w:t>
      </w:r>
      <w:r w:rsidRPr="00E543B1">
        <w:rPr>
          <w:rFonts w:cstheme="minorHAnsi"/>
          <w:b/>
          <w:bCs/>
        </w:rPr>
        <w:t>eference</w:t>
      </w:r>
      <w:r w:rsidRPr="00E543B1">
        <w:rPr>
          <w:rFonts w:cstheme="minorHAnsi"/>
        </w:rPr>
        <w:t xml:space="preserve">: </w:t>
      </w:r>
      <w:r w:rsidR="002552CB" w:rsidRPr="00E543B1">
        <w:rPr>
          <w:rFonts w:cstheme="minorHAnsi"/>
        </w:rPr>
        <w:t xml:space="preserve">tuition remission </w:t>
      </w:r>
    </w:p>
    <w:p w14:paraId="1401939F" w14:textId="77777777" w:rsidR="00C72BD9" w:rsidRPr="002552CB" w:rsidRDefault="00C72BD9" w:rsidP="00F25B11">
      <w:pPr>
        <w:pBdr>
          <w:top w:val="single" w:sz="4" w:space="1" w:color="BFBFBF" w:themeColor="background1" w:themeShade="BF"/>
        </w:pBdr>
        <w:spacing w:before="100" w:beforeAutospacing="1" w:after="100" w:afterAutospacing="1" w:line="240" w:lineRule="auto"/>
        <w:rPr>
          <w:rFonts w:eastAsia="Times New Roman" w:cstheme="minorHAnsi"/>
          <w:color w:val="990000"/>
        </w:rPr>
      </w:pPr>
    </w:p>
    <w:p w14:paraId="44095CFF" w14:textId="5EBEB80C" w:rsidR="00FD00D8" w:rsidRPr="002552CB" w:rsidRDefault="00D65FCC" w:rsidP="002552CB">
      <w:pPr>
        <w:pStyle w:val="Heading1"/>
      </w:pPr>
      <w:r w:rsidRPr="002552CB">
        <w:t>Purpose</w:t>
      </w:r>
    </w:p>
    <w:p w14:paraId="4C08AE03" w14:textId="411CC60B" w:rsidR="00C72BD9" w:rsidRPr="002552CB" w:rsidRDefault="0093246F" w:rsidP="00FD00D8">
      <w:pPr>
        <w:rPr>
          <w:rFonts w:cstheme="minorHAnsi"/>
        </w:rPr>
      </w:pPr>
      <w:r w:rsidRPr="002552CB">
        <w:rPr>
          <w:rFonts w:cstheme="minorHAnsi"/>
        </w:rPr>
        <w:t xml:space="preserve">Tuition remission for graduate </w:t>
      </w:r>
      <w:r w:rsidR="00E26662" w:rsidRPr="002552CB">
        <w:rPr>
          <w:rFonts w:cstheme="minorHAnsi"/>
        </w:rPr>
        <w:t>assistants (GAs)</w:t>
      </w:r>
      <w:r w:rsidRPr="002552CB">
        <w:rPr>
          <w:rFonts w:cstheme="minorHAnsi"/>
        </w:rPr>
        <w:t xml:space="preserve"> is a vital component of sponsored award budgets, reflecting the educational benefits associated with their research </w:t>
      </w:r>
      <w:r w:rsidR="006A212A" w:rsidRPr="002552CB">
        <w:rPr>
          <w:rFonts w:cstheme="minorHAnsi"/>
        </w:rPr>
        <w:t xml:space="preserve">and educational </w:t>
      </w:r>
      <w:r w:rsidRPr="002552CB">
        <w:rPr>
          <w:rFonts w:cstheme="minorHAnsi"/>
        </w:rPr>
        <w:t xml:space="preserve">activities. Federal regulations governing sponsored programs acknowledge tuition remission as part of the student’s overall compensation package and sponsors expect budgets to include these costs. </w:t>
      </w:r>
      <w:r w:rsidR="003E1A0B" w:rsidRPr="002552CB">
        <w:rPr>
          <w:rFonts w:cstheme="minorHAnsi"/>
        </w:rPr>
        <w:t xml:space="preserve">A program </w:t>
      </w:r>
      <w:r w:rsidRPr="002552CB">
        <w:rPr>
          <w:rFonts w:cstheme="minorHAnsi"/>
        </w:rPr>
        <w:t xml:space="preserve">of tuition remission helps the university recoup tuition </w:t>
      </w:r>
      <w:r w:rsidR="00A462D7" w:rsidRPr="002552CB">
        <w:rPr>
          <w:rFonts w:cstheme="minorHAnsi"/>
        </w:rPr>
        <w:t>revenue to</w:t>
      </w:r>
      <w:r w:rsidRPr="002552CB">
        <w:rPr>
          <w:rFonts w:cstheme="minorHAnsi"/>
        </w:rPr>
        <w:t xml:space="preserve"> invest in future research and educational programs.</w:t>
      </w:r>
    </w:p>
    <w:p w14:paraId="647B6B7B" w14:textId="47250028" w:rsidR="00C72BD9" w:rsidRPr="002552CB" w:rsidRDefault="1BCE926E" w:rsidP="00FD00D8">
      <w:pPr>
        <w:rPr>
          <w:rFonts w:cstheme="minorHAnsi"/>
        </w:rPr>
      </w:pPr>
      <w:r w:rsidRPr="002552CB">
        <w:rPr>
          <w:rFonts w:cstheme="minorHAnsi"/>
        </w:rPr>
        <w:t xml:space="preserve">This guidance applies to </w:t>
      </w:r>
      <w:r w:rsidR="2E682FB3" w:rsidRPr="002552CB">
        <w:rPr>
          <w:rFonts w:cstheme="minorHAnsi"/>
        </w:rPr>
        <w:t xml:space="preserve">tuition remission on non-training grants. </w:t>
      </w:r>
      <w:r w:rsidR="271654F2" w:rsidRPr="002552CB">
        <w:rPr>
          <w:rFonts w:cstheme="minorHAnsi"/>
        </w:rPr>
        <w:t>Charging</w:t>
      </w:r>
      <w:r w:rsidR="2E682FB3" w:rsidRPr="002552CB">
        <w:rPr>
          <w:rFonts w:cstheme="minorHAnsi"/>
        </w:rPr>
        <w:t xml:space="preserve"> policies and procedures for </w:t>
      </w:r>
      <w:r w:rsidR="271654F2" w:rsidRPr="002552CB">
        <w:rPr>
          <w:rFonts w:cstheme="minorHAnsi"/>
        </w:rPr>
        <w:t xml:space="preserve">tuition </w:t>
      </w:r>
      <w:r w:rsidR="43CA6314" w:rsidRPr="002552CB">
        <w:rPr>
          <w:rFonts w:cstheme="minorHAnsi"/>
        </w:rPr>
        <w:t>costs on training grants</w:t>
      </w:r>
      <w:r w:rsidR="42287D2A" w:rsidRPr="002552CB">
        <w:rPr>
          <w:rFonts w:cstheme="minorHAnsi"/>
        </w:rPr>
        <w:t xml:space="preserve"> </w:t>
      </w:r>
      <w:r w:rsidR="080AA1E6" w:rsidRPr="002552CB">
        <w:rPr>
          <w:rFonts w:cstheme="minorHAnsi"/>
        </w:rPr>
        <w:t xml:space="preserve">should be addressed </w:t>
      </w:r>
      <w:r w:rsidR="42287D2A" w:rsidRPr="002552CB">
        <w:rPr>
          <w:rFonts w:cstheme="minorHAnsi"/>
        </w:rPr>
        <w:t>separately</w:t>
      </w:r>
      <w:r w:rsidR="43152AC6" w:rsidRPr="002552CB">
        <w:rPr>
          <w:rFonts w:cstheme="minorHAnsi"/>
        </w:rPr>
        <w:t xml:space="preserve"> with the Graduate School</w:t>
      </w:r>
      <w:r w:rsidR="42287D2A" w:rsidRPr="002552CB">
        <w:rPr>
          <w:rFonts w:cstheme="minorHAnsi"/>
        </w:rPr>
        <w:t>.</w:t>
      </w:r>
    </w:p>
    <w:p w14:paraId="1A5A3112" w14:textId="5E0560C1" w:rsidR="00FD00D8" w:rsidRPr="002552CB" w:rsidRDefault="009D0AC3" w:rsidP="002552CB">
      <w:pPr>
        <w:pStyle w:val="Heading1"/>
      </w:pPr>
      <w:r w:rsidRPr="002552CB">
        <w:t>Definitions</w:t>
      </w:r>
    </w:p>
    <w:p w14:paraId="62C754DC" w14:textId="3046C2F0" w:rsidR="00C72BD9" w:rsidRPr="002552CB" w:rsidRDefault="00A23B32" w:rsidP="00FD00D8">
      <w:pPr>
        <w:rPr>
          <w:rFonts w:cstheme="minorHAnsi"/>
        </w:rPr>
      </w:pPr>
      <w:r w:rsidRPr="002552CB">
        <w:rPr>
          <w:rFonts w:cstheme="minorHAnsi"/>
        </w:rPr>
        <w:t xml:space="preserve">Graduate </w:t>
      </w:r>
      <w:r w:rsidR="002552CB" w:rsidRPr="002552CB">
        <w:rPr>
          <w:rFonts w:cstheme="minorHAnsi"/>
        </w:rPr>
        <w:t>a</w:t>
      </w:r>
      <w:r w:rsidRPr="002552CB">
        <w:rPr>
          <w:rFonts w:cstheme="minorHAnsi"/>
        </w:rPr>
        <w:t>ssistant: Working under the supervision of a faculty member, graduate assistants apply research and artistry concepts, practices, or methods of scholarship and artistry by conducting experiments, creating new works, analyzing data, presenting findings, collaborating with others in preparing publications, reports, or exhibitions, presenting at conferences or performances, or conducting institutional research or artistry as part of their degree program.</w:t>
      </w:r>
    </w:p>
    <w:p w14:paraId="2EA145C0" w14:textId="1A7E48B1" w:rsidR="00C72BD9" w:rsidRPr="002552CB" w:rsidRDefault="00A23B32" w:rsidP="00FD00D8">
      <w:pPr>
        <w:rPr>
          <w:rFonts w:cstheme="minorHAnsi"/>
        </w:rPr>
      </w:pPr>
      <w:r w:rsidRPr="002552CB">
        <w:rPr>
          <w:rFonts w:cstheme="minorHAnsi"/>
        </w:rPr>
        <w:t xml:space="preserve">Tuition </w:t>
      </w:r>
      <w:r w:rsidR="002552CB" w:rsidRPr="002552CB">
        <w:rPr>
          <w:rFonts w:cstheme="minorHAnsi"/>
        </w:rPr>
        <w:t>w</w:t>
      </w:r>
      <w:r w:rsidRPr="002552CB">
        <w:rPr>
          <w:rFonts w:cstheme="minorHAnsi"/>
        </w:rPr>
        <w:t xml:space="preserve">aiver: A form of financial aid that waives all or part of the tuition costs for eligible NIU students based on defined </w:t>
      </w:r>
      <w:r w:rsidR="00DC08D9" w:rsidRPr="002552CB">
        <w:rPr>
          <w:rFonts w:cstheme="minorHAnsi"/>
        </w:rPr>
        <w:t xml:space="preserve">university </w:t>
      </w:r>
      <w:r w:rsidRPr="002552CB">
        <w:rPr>
          <w:rFonts w:cstheme="minorHAnsi"/>
        </w:rPr>
        <w:t>criteria. Students receiving a tuition waiver are not required to pay the waived portion of tuition</w:t>
      </w:r>
      <w:bookmarkStart w:id="0" w:name="_Int_syYStsHn"/>
      <w:r w:rsidRPr="002552CB">
        <w:rPr>
          <w:rFonts w:cstheme="minorHAnsi"/>
        </w:rPr>
        <w:t xml:space="preserve">.  </w:t>
      </w:r>
      <w:bookmarkEnd w:id="0"/>
    </w:p>
    <w:p w14:paraId="5E01A966" w14:textId="0FCC4BD1" w:rsidR="00C72BD9" w:rsidRPr="002552CB" w:rsidRDefault="00A23B32" w:rsidP="00FD00D8">
      <w:pPr>
        <w:rPr>
          <w:rFonts w:cstheme="minorHAnsi"/>
        </w:rPr>
      </w:pPr>
      <w:r w:rsidRPr="002552CB">
        <w:rPr>
          <w:rFonts w:cstheme="minorHAnsi"/>
        </w:rPr>
        <w:t xml:space="preserve">Tuition </w:t>
      </w:r>
      <w:r w:rsidR="002552CB" w:rsidRPr="002552CB">
        <w:rPr>
          <w:rFonts w:cstheme="minorHAnsi"/>
        </w:rPr>
        <w:t>r</w:t>
      </w:r>
      <w:r w:rsidRPr="002552CB">
        <w:rPr>
          <w:rFonts w:cstheme="minorHAnsi"/>
        </w:rPr>
        <w:t>emission</w:t>
      </w:r>
      <w:r w:rsidR="6729BDB2" w:rsidRPr="002552CB">
        <w:rPr>
          <w:rFonts w:cstheme="minorHAnsi"/>
        </w:rPr>
        <w:t>: The</w:t>
      </w:r>
      <w:r w:rsidRPr="002552CB">
        <w:rPr>
          <w:rFonts w:cstheme="minorHAnsi"/>
        </w:rPr>
        <w:t xml:space="preserve"> term for the financial support </w:t>
      </w:r>
      <w:r w:rsidR="003D1163" w:rsidRPr="002552CB">
        <w:rPr>
          <w:rFonts w:cstheme="minorHAnsi"/>
        </w:rPr>
        <w:t>recovered</w:t>
      </w:r>
      <w:r w:rsidRPr="002552CB">
        <w:rPr>
          <w:rFonts w:cstheme="minorHAnsi"/>
        </w:rPr>
        <w:t xml:space="preserve"> by NIU to cover the cost of tuition waivers for eligible NIU students as part of their overall compensation and benefits package</w:t>
      </w:r>
      <w:bookmarkStart w:id="1" w:name="_Int_5xJRS5H3"/>
      <w:r w:rsidRPr="002552CB">
        <w:rPr>
          <w:rFonts w:cstheme="minorHAnsi"/>
        </w:rPr>
        <w:t xml:space="preserve">.  </w:t>
      </w:r>
      <w:bookmarkEnd w:id="1"/>
    </w:p>
    <w:p w14:paraId="14B7DF37" w14:textId="3FD12B87" w:rsidR="00C72BD9" w:rsidRPr="002552CB" w:rsidRDefault="00A23B32" w:rsidP="00FD00D8">
      <w:pPr>
        <w:rPr>
          <w:rFonts w:cstheme="minorHAnsi"/>
        </w:rPr>
      </w:pPr>
      <w:r w:rsidRPr="002552CB">
        <w:rPr>
          <w:rFonts w:cstheme="minorHAnsi"/>
        </w:rPr>
        <w:t xml:space="preserve">Effort: Actual amount of time spent working on a sponsored project. Effort is expressed as a percentage of the total amount of time spent on all NIU work-related activities for which the employee is compensated. Graduate assistants paid from sponsored project(s) </w:t>
      </w:r>
      <w:r w:rsidR="00B950A0" w:rsidRPr="002552CB">
        <w:rPr>
          <w:rFonts w:cstheme="minorHAnsi"/>
        </w:rPr>
        <w:t xml:space="preserve">are considered employees and </w:t>
      </w:r>
      <w:r w:rsidRPr="002552CB">
        <w:rPr>
          <w:rFonts w:cstheme="minorHAnsi"/>
        </w:rPr>
        <w:t>complete time and effort reporting.</w:t>
      </w:r>
    </w:p>
    <w:p w14:paraId="45C3398E" w14:textId="31B23FB2" w:rsidR="00C72BD9" w:rsidRPr="002552CB" w:rsidRDefault="008F52F9" w:rsidP="00FD00D8">
      <w:pPr>
        <w:rPr>
          <w:rFonts w:cstheme="minorHAnsi"/>
        </w:rPr>
      </w:pPr>
      <w:r w:rsidRPr="002552CB">
        <w:rPr>
          <w:rFonts w:cstheme="minorHAnsi"/>
        </w:rPr>
        <w:t xml:space="preserve">Cost </w:t>
      </w:r>
      <w:r w:rsidR="002552CB" w:rsidRPr="002552CB">
        <w:rPr>
          <w:rFonts w:cstheme="minorHAnsi"/>
        </w:rPr>
        <w:t>s</w:t>
      </w:r>
      <w:r w:rsidRPr="002552CB">
        <w:rPr>
          <w:rFonts w:cstheme="minorHAnsi"/>
        </w:rPr>
        <w:t>hare:</w:t>
      </w:r>
      <w:r w:rsidR="00C129A0" w:rsidRPr="002552CB">
        <w:rPr>
          <w:rFonts w:cstheme="minorHAnsi"/>
        </w:rPr>
        <w:t xml:space="preserve"> The portion of the total project costs not borne by the sponsor.</w:t>
      </w:r>
    </w:p>
    <w:p w14:paraId="4DD1E0BC" w14:textId="1E4261B7" w:rsidR="00FD00D8" w:rsidRPr="002552CB" w:rsidRDefault="008E64E1" w:rsidP="002552CB">
      <w:pPr>
        <w:pStyle w:val="Heading1"/>
      </w:pPr>
      <w:r w:rsidRPr="002552CB">
        <w:t xml:space="preserve">Guidance and </w:t>
      </w:r>
      <w:r w:rsidR="00191A72" w:rsidRPr="002552CB">
        <w:t>Procedure</w:t>
      </w:r>
      <w:r w:rsidRPr="002552CB">
        <w:t>s</w:t>
      </w:r>
    </w:p>
    <w:p w14:paraId="25E8EF42" w14:textId="44BAD032" w:rsidR="00AD0327" w:rsidRPr="002552CB" w:rsidRDefault="00271C85" w:rsidP="00FD00D8">
      <w:pPr>
        <w:pStyle w:val="NoSpacing"/>
        <w:rPr>
          <w:rFonts w:cstheme="minorHAnsi"/>
        </w:rPr>
      </w:pPr>
      <w:r w:rsidRPr="002552CB">
        <w:rPr>
          <w:rFonts w:cstheme="minorHAnsi"/>
        </w:rPr>
        <w:t xml:space="preserve">When </w:t>
      </w:r>
      <w:r w:rsidR="00F07C7B" w:rsidRPr="002552CB">
        <w:rPr>
          <w:rFonts w:cstheme="minorHAnsi"/>
        </w:rPr>
        <w:t xml:space="preserve">graduate assistant(s) are included in grant proposals and contracts, </w:t>
      </w:r>
      <w:r w:rsidRPr="002552CB">
        <w:rPr>
          <w:rFonts w:cstheme="minorHAnsi"/>
        </w:rPr>
        <w:t xml:space="preserve">Sponsored Programs Administration (SPA) </w:t>
      </w:r>
      <w:r w:rsidR="00F07C7B" w:rsidRPr="002552CB">
        <w:rPr>
          <w:rFonts w:cstheme="minorHAnsi"/>
        </w:rPr>
        <w:t xml:space="preserve">will include </w:t>
      </w:r>
      <w:r w:rsidR="0090391B" w:rsidRPr="002552CB">
        <w:rPr>
          <w:rFonts w:cstheme="minorHAnsi"/>
        </w:rPr>
        <w:t>costs for tuition remission unless the sponsor expressly prohibits it</w:t>
      </w:r>
      <w:r w:rsidR="001A3F77" w:rsidRPr="002552CB">
        <w:rPr>
          <w:rFonts w:cstheme="minorHAnsi"/>
        </w:rPr>
        <w:t xml:space="preserve">. </w:t>
      </w:r>
      <w:r w:rsidR="00AD0327" w:rsidRPr="002552CB">
        <w:rPr>
          <w:rFonts w:cstheme="minorHAnsi"/>
        </w:rPr>
        <w:t xml:space="preserve">SPA will look to the funding announcement </w:t>
      </w:r>
      <w:r w:rsidR="7B83E4F0" w:rsidRPr="002552CB">
        <w:rPr>
          <w:rFonts w:cstheme="minorHAnsi"/>
        </w:rPr>
        <w:t xml:space="preserve">and </w:t>
      </w:r>
      <w:r w:rsidR="00AD0327" w:rsidRPr="002552CB">
        <w:rPr>
          <w:rFonts w:cstheme="minorHAnsi"/>
        </w:rPr>
        <w:t>other formal agency policies and guidelines to interpret any restrictions</w:t>
      </w:r>
      <w:bookmarkStart w:id="2" w:name="_Int_UO3NjmFm"/>
      <w:r w:rsidR="00AD0327" w:rsidRPr="002552CB">
        <w:rPr>
          <w:rFonts w:cstheme="minorHAnsi"/>
        </w:rPr>
        <w:t xml:space="preserve">.  </w:t>
      </w:r>
      <w:bookmarkEnd w:id="2"/>
    </w:p>
    <w:p w14:paraId="78F77D06" w14:textId="77777777" w:rsidR="00C72BD9" w:rsidRPr="002552CB" w:rsidRDefault="00C72BD9" w:rsidP="00FD00D8">
      <w:pPr>
        <w:pStyle w:val="NoSpacing"/>
        <w:rPr>
          <w:rFonts w:cstheme="minorHAnsi"/>
        </w:rPr>
      </w:pPr>
    </w:p>
    <w:p w14:paraId="29232BC5" w14:textId="77777777" w:rsidR="00B0370D" w:rsidRPr="002552CB" w:rsidRDefault="74B601BD" w:rsidP="00FD00D8">
      <w:pPr>
        <w:pStyle w:val="NoSpacing"/>
        <w:rPr>
          <w:rFonts w:cstheme="minorHAnsi"/>
        </w:rPr>
      </w:pPr>
      <w:r w:rsidRPr="002552CB">
        <w:rPr>
          <w:rFonts w:cstheme="minorHAnsi"/>
        </w:rPr>
        <w:t xml:space="preserve">Tuition </w:t>
      </w:r>
      <w:r w:rsidR="3C51845D" w:rsidRPr="002552CB">
        <w:rPr>
          <w:rFonts w:cstheme="minorHAnsi"/>
        </w:rPr>
        <w:t xml:space="preserve">Remission is calculated based on the student’s appointment </w:t>
      </w:r>
      <w:r w:rsidR="05DF63C6" w:rsidRPr="002552CB">
        <w:rPr>
          <w:rFonts w:cstheme="minorHAnsi"/>
        </w:rPr>
        <w:t>as presented in the proposed budget</w:t>
      </w:r>
      <w:r w:rsidR="333805AC" w:rsidRPr="002552CB">
        <w:rPr>
          <w:rFonts w:cstheme="minorHAnsi"/>
        </w:rPr>
        <w:t xml:space="preserve"> and based on full in-state tuition following tuition rates set forth by the University Bursar</w:t>
      </w:r>
      <w:r w:rsidR="05DF63C6" w:rsidRPr="002552CB">
        <w:rPr>
          <w:rFonts w:cstheme="minorHAnsi"/>
        </w:rPr>
        <w:t xml:space="preserve">. </w:t>
      </w:r>
    </w:p>
    <w:p w14:paraId="2FFCF009" w14:textId="77777777" w:rsidR="00FD00D8" w:rsidRPr="002552CB" w:rsidRDefault="00FD00D8" w:rsidP="00FD00D8">
      <w:pPr>
        <w:pStyle w:val="NoSpacing"/>
        <w:rPr>
          <w:rFonts w:cstheme="minorHAnsi"/>
        </w:rPr>
      </w:pPr>
    </w:p>
    <w:p w14:paraId="24ADC105" w14:textId="123457D3" w:rsidR="00E268B7" w:rsidRPr="002552CB" w:rsidRDefault="006B3C8A" w:rsidP="00FD00D8">
      <w:pPr>
        <w:pStyle w:val="NoSpacing"/>
        <w:rPr>
          <w:rFonts w:cstheme="minorHAnsi"/>
        </w:rPr>
      </w:pPr>
      <w:r w:rsidRPr="002552CB">
        <w:rPr>
          <w:rFonts w:cstheme="minorHAnsi"/>
        </w:rPr>
        <w:lastRenderedPageBreak/>
        <w:t xml:space="preserve">Most </w:t>
      </w:r>
      <w:r w:rsidR="003109F3" w:rsidRPr="002552CB">
        <w:rPr>
          <w:rFonts w:cstheme="minorHAnsi"/>
        </w:rPr>
        <w:t xml:space="preserve">graduate </w:t>
      </w:r>
      <w:r w:rsidRPr="002552CB">
        <w:rPr>
          <w:rFonts w:cstheme="minorHAnsi"/>
        </w:rPr>
        <w:t xml:space="preserve">student appointments follow one of the </w:t>
      </w:r>
      <w:r w:rsidR="0FAE7D96" w:rsidRPr="002552CB">
        <w:rPr>
          <w:rFonts w:cstheme="minorHAnsi"/>
        </w:rPr>
        <w:t>scenarios below</w:t>
      </w:r>
      <w:r w:rsidRPr="002552CB">
        <w:rPr>
          <w:rFonts w:cstheme="minorHAnsi"/>
        </w:rPr>
        <w:t>.</w:t>
      </w:r>
      <w:r w:rsidR="000233B9" w:rsidRPr="002552CB">
        <w:rPr>
          <w:rFonts w:cstheme="minorHAnsi"/>
        </w:rPr>
        <w:t xml:space="preserve"> </w:t>
      </w:r>
    </w:p>
    <w:p w14:paraId="37AD4730" w14:textId="77777777" w:rsidR="00C03637" w:rsidRPr="002552CB" w:rsidRDefault="00C03637" w:rsidP="00385BCA">
      <w:pPr>
        <w:pStyle w:val="NoSpacing"/>
        <w:rPr>
          <w:rFonts w:cstheme="minorHAnsi"/>
        </w:rPr>
      </w:pPr>
    </w:p>
    <w:tbl>
      <w:tblPr>
        <w:tblStyle w:val="TableGrid"/>
        <w:tblpPr w:leftFromText="180" w:rightFromText="180" w:vertAnchor="text" w:horzAnchor="margin" w:tblpY="41"/>
        <w:tblW w:w="0" w:type="auto"/>
        <w:tblLayout w:type="fixed"/>
        <w:tblLook w:val="04A0" w:firstRow="1" w:lastRow="0" w:firstColumn="1" w:lastColumn="0" w:noHBand="0" w:noVBand="1"/>
      </w:tblPr>
      <w:tblGrid>
        <w:gridCol w:w="1520"/>
        <w:gridCol w:w="1211"/>
        <w:gridCol w:w="1327"/>
        <w:gridCol w:w="1602"/>
        <w:gridCol w:w="1260"/>
        <w:gridCol w:w="1710"/>
        <w:gridCol w:w="2070"/>
      </w:tblGrid>
      <w:tr w:rsidR="00B0370D" w:rsidRPr="002552CB" w14:paraId="1B07B5D7" w14:textId="77777777" w:rsidTr="003109F3">
        <w:trPr>
          <w:trHeight w:val="300"/>
        </w:trPr>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410D633A" w14:textId="77777777" w:rsidR="00B0370D" w:rsidRPr="002552CB" w:rsidRDefault="00B0370D" w:rsidP="00B0370D">
            <w:pPr>
              <w:rPr>
                <w:rFonts w:eastAsia="Calibri" w:cstheme="minorHAnsi"/>
                <w:b/>
                <w:bCs/>
              </w:rPr>
            </w:pPr>
            <w:r w:rsidRPr="002552CB">
              <w:rPr>
                <w:rFonts w:eastAsia="Calibri" w:cstheme="minorHAnsi"/>
                <w:b/>
                <w:bCs/>
              </w:rPr>
              <w:t>Term</w:t>
            </w:r>
          </w:p>
        </w:tc>
        <w:tc>
          <w:tcPr>
            <w:tcW w:w="41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9A490F8" w14:textId="1CE134BE" w:rsidR="00B0370D" w:rsidRPr="002552CB" w:rsidRDefault="00B0370D" w:rsidP="00B0370D">
            <w:pPr>
              <w:jc w:val="center"/>
              <w:rPr>
                <w:rFonts w:eastAsia="Calibri" w:cstheme="minorHAnsi"/>
                <w:b/>
                <w:bCs/>
              </w:rPr>
            </w:pPr>
            <w:r w:rsidRPr="002552CB">
              <w:rPr>
                <w:rFonts w:eastAsia="Calibri" w:cstheme="minorHAnsi"/>
                <w:b/>
                <w:bCs/>
              </w:rPr>
              <w:t xml:space="preserve">12 months </w:t>
            </w:r>
          </w:p>
        </w:tc>
        <w:tc>
          <w:tcPr>
            <w:tcW w:w="5040" w:type="dxa"/>
            <w:gridSpan w:val="3"/>
            <w:tcBorders>
              <w:top w:val="single" w:sz="8" w:space="0" w:color="auto"/>
              <w:left w:val="nil"/>
              <w:bottom w:val="single" w:sz="8" w:space="0" w:color="auto"/>
              <w:right w:val="single" w:sz="8" w:space="0" w:color="auto"/>
            </w:tcBorders>
            <w:tcMar>
              <w:left w:w="108" w:type="dxa"/>
              <w:right w:w="108" w:type="dxa"/>
            </w:tcMar>
          </w:tcPr>
          <w:p w14:paraId="795A5F52" w14:textId="7E91C072" w:rsidR="00B0370D" w:rsidRPr="002552CB" w:rsidRDefault="00B0370D" w:rsidP="00B0370D">
            <w:pPr>
              <w:jc w:val="center"/>
              <w:rPr>
                <w:rFonts w:eastAsia="Calibri" w:cstheme="minorHAnsi"/>
                <w:b/>
                <w:bCs/>
              </w:rPr>
            </w:pPr>
            <w:r w:rsidRPr="002552CB">
              <w:rPr>
                <w:rFonts w:eastAsia="Calibri" w:cstheme="minorHAnsi"/>
                <w:b/>
                <w:bCs/>
              </w:rPr>
              <w:t xml:space="preserve">9 months </w:t>
            </w:r>
          </w:p>
        </w:tc>
      </w:tr>
      <w:tr w:rsidR="00B0370D" w:rsidRPr="002552CB" w14:paraId="44433BB2" w14:textId="77777777" w:rsidTr="003109F3">
        <w:trPr>
          <w:trHeight w:val="300"/>
        </w:trPr>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11D7C60F" w14:textId="77777777" w:rsidR="00B0370D" w:rsidRPr="002552CB" w:rsidRDefault="00B0370D" w:rsidP="00B0370D">
            <w:pPr>
              <w:rPr>
                <w:rFonts w:eastAsia="Calibri" w:cstheme="minorHAnsi"/>
              </w:rPr>
            </w:pPr>
            <w:r w:rsidRPr="002552CB">
              <w:rPr>
                <w:rFonts w:eastAsia="Calibri" w:cstheme="minorHAnsi"/>
              </w:rPr>
              <w:t>Appointment</w:t>
            </w:r>
          </w:p>
        </w:tc>
        <w:tc>
          <w:tcPr>
            <w:tcW w:w="1211" w:type="dxa"/>
            <w:tcBorders>
              <w:top w:val="single" w:sz="8" w:space="0" w:color="auto"/>
              <w:left w:val="single" w:sz="8" w:space="0" w:color="auto"/>
              <w:bottom w:val="single" w:sz="8" w:space="0" w:color="auto"/>
              <w:right w:val="single" w:sz="8" w:space="0" w:color="auto"/>
            </w:tcBorders>
            <w:tcMar>
              <w:left w:w="108" w:type="dxa"/>
              <w:right w:w="108" w:type="dxa"/>
            </w:tcMar>
          </w:tcPr>
          <w:p w14:paraId="1DD5F5D5" w14:textId="756AADAA" w:rsidR="00B0370D" w:rsidRPr="002552CB" w:rsidRDefault="00B0370D" w:rsidP="00B0370D">
            <w:pPr>
              <w:jc w:val="center"/>
              <w:rPr>
                <w:rFonts w:eastAsia="Calibri" w:cstheme="minorHAnsi"/>
              </w:rPr>
            </w:pPr>
            <w:r w:rsidRPr="002552CB">
              <w:rPr>
                <w:rFonts w:eastAsia="Calibri" w:cstheme="minorHAnsi"/>
              </w:rPr>
              <w:t>20 hrs./wk. (100%)</w:t>
            </w:r>
          </w:p>
        </w:tc>
        <w:tc>
          <w:tcPr>
            <w:tcW w:w="1327" w:type="dxa"/>
            <w:tcBorders>
              <w:top w:val="nil"/>
              <w:left w:val="single" w:sz="8" w:space="0" w:color="auto"/>
              <w:bottom w:val="single" w:sz="8" w:space="0" w:color="auto"/>
              <w:right w:val="single" w:sz="8" w:space="0" w:color="auto"/>
            </w:tcBorders>
            <w:tcMar>
              <w:left w:w="108" w:type="dxa"/>
              <w:right w:w="108" w:type="dxa"/>
            </w:tcMar>
          </w:tcPr>
          <w:p w14:paraId="3444B1B0" w14:textId="18BC1588" w:rsidR="00B0370D" w:rsidRPr="002552CB" w:rsidRDefault="00B0370D" w:rsidP="00B0370D">
            <w:pPr>
              <w:jc w:val="center"/>
              <w:rPr>
                <w:rFonts w:eastAsia="Calibri" w:cstheme="minorHAnsi"/>
              </w:rPr>
            </w:pPr>
            <w:r w:rsidRPr="002552CB">
              <w:rPr>
                <w:rFonts w:eastAsia="Calibri" w:cstheme="minorHAnsi"/>
              </w:rPr>
              <w:t>15 hrs./wk. (75%)</w:t>
            </w:r>
          </w:p>
        </w:tc>
        <w:tc>
          <w:tcPr>
            <w:tcW w:w="1602" w:type="dxa"/>
            <w:tcBorders>
              <w:top w:val="nil"/>
              <w:left w:val="single" w:sz="8" w:space="0" w:color="auto"/>
              <w:bottom w:val="single" w:sz="8" w:space="0" w:color="auto"/>
              <w:right w:val="single" w:sz="8" w:space="0" w:color="auto"/>
            </w:tcBorders>
            <w:tcMar>
              <w:left w:w="108" w:type="dxa"/>
              <w:right w:w="108" w:type="dxa"/>
            </w:tcMar>
          </w:tcPr>
          <w:p w14:paraId="4A618773" w14:textId="3C691B97" w:rsidR="00B0370D" w:rsidRPr="002552CB" w:rsidRDefault="00B0370D" w:rsidP="00B0370D">
            <w:pPr>
              <w:jc w:val="center"/>
              <w:rPr>
                <w:rFonts w:eastAsia="Calibri" w:cstheme="minorHAnsi"/>
              </w:rPr>
            </w:pPr>
            <w:r w:rsidRPr="002552CB">
              <w:rPr>
                <w:rFonts w:eastAsia="Calibri" w:cstheme="minorHAnsi"/>
              </w:rPr>
              <w:t>10 hrs./wk. (50%)</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1A9630CE" w14:textId="728D0528" w:rsidR="00B0370D" w:rsidRPr="002552CB" w:rsidRDefault="00B0370D" w:rsidP="00B0370D">
            <w:pPr>
              <w:jc w:val="center"/>
              <w:rPr>
                <w:rFonts w:eastAsia="Calibri" w:cstheme="minorHAnsi"/>
              </w:rPr>
            </w:pPr>
            <w:r w:rsidRPr="002552CB">
              <w:rPr>
                <w:rFonts w:eastAsia="Calibri" w:cstheme="minorHAnsi"/>
              </w:rPr>
              <w:t>20 hrs./wk. (100%)</w:t>
            </w:r>
          </w:p>
        </w:tc>
        <w:tc>
          <w:tcPr>
            <w:tcW w:w="1710" w:type="dxa"/>
            <w:tcBorders>
              <w:top w:val="nil"/>
              <w:left w:val="single" w:sz="8" w:space="0" w:color="auto"/>
              <w:bottom w:val="single" w:sz="8" w:space="0" w:color="auto"/>
              <w:right w:val="single" w:sz="8" w:space="0" w:color="auto"/>
            </w:tcBorders>
            <w:tcMar>
              <w:left w:w="108" w:type="dxa"/>
              <w:right w:w="108" w:type="dxa"/>
            </w:tcMar>
          </w:tcPr>
          <w:p w14:paraId="0EDB0324" w14:textId="235A9C85" w:rsidR="00B0370D" w:rsidRPr="002552CB" w:rsidRDefault="00B0370D" w:rsidP="00B0370D">
            <w:pPr>
              <w:jc w:val="center"/>
              <w:rPr>
                <w:rFonts w:eastAsia="Calibri" w:cstheme="minorHAnsi"/>
              </w:rPr>
            </w:pPr>
            <w:r w:rsidRPr="002552CB">
              <w:rPr>
                <w:rFonts w:eastAsia="Calibri" w:cstheme="minorHAnsi"/>
              </w:rPr>
              <w:t>15 hrs./wk. (75%)</w:t>
            </w:r>
          </w:p>
        </w:tc>
        <w:tc>
          <w:tcPr>
            <w:tcW w:w="2070" w:type="dxa"/>
            <w:tcBorders>
              <w:top w:val="nil"/>
              <w:left w:val="single" w:sz="8" w:space="0" w:color="auto"/>
              <w:bottom w:val="single" w:sz="8" w:space="0" w:color="auto"/>
              <w:right w:val="single" w:sz="8" w:space="0" w:color="auto"/>
            </w:tcBorders>
            <w:tcMar>
              <w:left w:w="108" w:type="dxa"/>
              <w:right w:w="108" w:type="dxa"/>
            </w:tcMar>
          </w:tcPr>
          <w:p w14:paraId="21117156" w14:textId="77777777" w:rsidR="0010006F" w:rsidRPr="002552CB" w:rsidRDefault="00B0370D" w:rsidP="00B0370D">
            <w:pPr>
              <w:jc w:val="center"/>
              <w:rPr>
                <w:rFonts w:eastAsia="Calibri" w:cstheme="minorHAnsi"/>
              </w:rPr>
            </w:pPr>
            <w:r w:rsidRPr="002552CB">
              <w:rPr>
                <w:rFonts w:eastAsia="Calibri" w:cstheme="minorHAnsi"/>
              </w:rPr>
              <w:t xml:space="preserve">10 hrs./wk. </w:t>
            </w:r>
          </w:p>
          <w:p w14:paraId="03142751" w14:textId="51F437E7" w:rsidR="00B0370D" w:rsidRPr="002552CB" w:rsidRDefault="00B0370D" w:rsidP="00B0370D">
            <w:pPr>
              <w:jc w:val="center"/>
              <w:rPr>
                <w:rFonts w:eastAsia="Calibri" w:cstheme="minorHAnsi"/>
              </w:rPr>
            </w:pPr>
            <w:r w:rsidRPr="002552CB">
              <w:rPr>
                <w:rFonts w:eastAsia="Calibri" w:cstheme="minorHAnsi"/>
              </w:rPr>
              <w:t>(50%)</w:t>
            </w:r>
          </w:p>
        </w:tc>
      </w:tr>
      <w:tr w:rsidR="00163F02" w:rsidRPr="002552CB" w14:paraId="338CC057" w14:textId="77777777" w:rsidTr="003109F3">
        <w:trPr>
          <w:trHeight w:val="300"/>
        </w:trPr>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067A3966" w14:textId="14A72F99" w:rsidR="00B0370D" w:rsidRPr="002552CB" w:rsidRDefault="00B0370D" w:rsidP="00B0370D">
            <w:pPr>
              <w:rPr>
                <w:rFonts w:eastAsia="Calibri" w:cstheme="minorHAnsi"/>
              </w:rPr>
            </w:pPr>
            <w:r w:rsidRPr="002552CB">
              <w:rPr>
                <w:rFonts w:eastAsia="Calibri" w:cstheme="minorHAnsi"/>
              </w:rPr>
              <w:t>Credit Hours</w:t>
            </w:r>
            <w:r w:rsidR="00A94CDB" w:rsidRPr="002552CB">
              <w:rPr>
                <w:rFonts w:eastAsia="Calibri" w:cstheme="minorHAnsi"/>
              </w:rPr>
              <w:t xml:space="preserve"> Budgeted</w:t>
            </w:r>
          </w:p>
        </w:tc>
        <w:tc>
          <w:tcPr>
            <w:tcW w:w="1211" w:type="dxa"/>
            <w:tcBorders>
              <w:top w:val="single" w:sz="8" w:space="0" w:color="auto"/>
              <w:left w:val="single" w:sz="8" w:space="0" w:color="auto"/>
              <w:bottom w:val="single" w:sz="8" w:space="0" w:color="auto"/>
              <w:right w:val="single" w:sz="8" w:space="0" w:color="auto"/>
            </w:tcBorders>
            <w:tcMar>
              <w:left w:w="108" w:type="dxa"/>
              <w:right w:w="108" w:type="dxa"/>
            </w:tcMar>
          </w:tcPr>
          <w:p w14:paraId="19F8BA13" w14:textId="77777777" w:rsidR="00B0370D" w:rsidRPr="002552CB" w:rsidRDefault="00B0370D" w:rsidP="00B0370D">
            <w:pPr>
              <w:jc w:val="center"/>
              <w:rPr>
                <w:rFonts w:eastAsia="Calibri" w:cstheme="minorHAnsi"/>
              </w:rPr>
            </w:pPr>
            <w:r w:rsidRPr="002552CB">
              <w:rPr>
                <w:rFonts w:eastAsia="Calibri" w:cstheme="minorHAnsi"/>
              </w:rPr>
              <w:t>21</w:t>
            </w:r>
          </w:p>
        </w:tc>
        <w:tc>
          <w:tcPr>
            <w:tcW w:w="1327" w:type="dxa"/>
            <w:tcBorders>
              <w:top w:val="single" w:sz="8" w:space="0" w:color="auto"/>
              <w:left w:val="single" w:sz="8" w:space="0" w:color="auto"/>
              <w:bottom w:val="single" w:sz="8" w:space="0" w:color="auto"/>
              <w:right w:val="single" w:sz="8" w:space="0" w:color="auto"/>
            </w:tcBorders>
            <w:tcMar>
              <w:left w:w="108" w:type="dxa"/>
              <w:right w:w="108" w:type="dxa"/>
            </w:tcMar>
          </w:tcPr>
          <w:p w14:paraId="76073155" w14:textId="697CD17C" w:rsidR="00B0370D" w:rsidRPr="002552CB" w:rsidRDefault="00B0370D" w:rsidP="00B0370D">
            <w:pPr>
              <w:jc w:val="center"/>
              <w:rPr>
                <w:rFonts w:eastAsia="Calibri" w:cstheme="minorHAnsi"/>
              </w:rPr>
            </w:pPr>
            <w:r w:rsidRPr="002552CB">
              <w:rPr>
                <w:rFonts w:eastAsia="Calibri" w:cstheme="minorHAnsi"/>
              </w:rPr>
              <w:t>1</w:t>
            </w:r>
            <w:r w:rsidR="0010006F" w:rsidRPr="002552CB">
              <w:rPr>
                <w:rFonts w:eastAsia="Calibri" w:cstheme="minorHAnsi"/>
              </w:rPr>
              <w:t>6</w:t>
            </w:r>
          </w:p>
        </w:tc>
        <w:tc>
          <w:tcPr>
            <w:tcW w:w="1602" w:type="dxa"/>
            <w:tcBorders>
              <w:top w:val="single" w:sz="8" w:space="0" w:color="auto"/>
              <w:left w:val="single" w:sz="8" w:space="0" w:color="auto"/>
              <w:bottom w:val="single" w:sz="8" w:space="0" w:color="auto"/>
              <w:right w:val="single" w:sz="8" w:space="0" w:color="auto"/>
            </w:tcBorders>
            <w:tcMar>
              <w:left w:w="108" w:type="dxa"/>
              <w:right w:w="108" w:type="dxa"/>
            </w:tcMar>
          </w:tcPr>
          <w:p w14:paraId="0CFC8032" w14:textId="6D831EC4" w:rsidR="00B0370D" w:rsidRPr="002552CB" w:rsidRDefault="00B0370D" w:rsidP="00B0370D">
            <w:pPr>
              <w:jc w:val="center"/>
              <w:rPr>
                <w:rFonts w:eastAsia="Calibri" w:cstheme="minorHAnsi"/>
              </w:rPr>
            </w:pPr>
            <w:r w:rsidRPr="002552CB">
              <w:rPr>
                <w:rFonts w:eastAsia="Calibri" w:cstheme="minorHAnsi"/>
              </w:rPr>
              <w:t>1</w:t>
            </w:r>
            <w:r w:rsidR="00FF0C0A" w:rsidRPr="002552CB">
              <w:rPr>
                <w:rFonts w:eastAsia="Calibri" w:cstheme="minorHAnsi"/>
              </w:rPr>
              <w:t>1</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4DCEAA72" w14:textId="77777777" w:rsidR="00B0370D" w:rsidRPr="002552CB" w:rsidRDefault="00B0370D" w:rsidP="00B0370D">
            <w:pPr>
              <w:jc w:val="center"/>
              <w:rPr>
                <w:rFonts w:eastAsia="Calibri" w:cstheme="minorHAnsi"/>
              </w:rPr>
            </w:pPr>
            <w:r w:rsidRPr="002552CB">
              <w:rPr>
                <w:rFonts w:eastAsia="Calibri" w:cstheme="minorHAnsi"/>
              </w:rPr>
              <w:t>18</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0C6DBEAB" w14:textId="28919E9C" w:rsidR="00B0370D" w:rsidRPr="002552CB" w:rsidRDefault="00B0370D" w:rsidP="00B0370D">
            <w:pPr>
              <w:jc w:val="center"/>
              <w:rPr>
                <w:rFonts w:eastAsia="Calibri" w:cstheme="minorHAnsi"/>
              </w:rPr>
            </w:pPr>
            <w:r w:rsidRPr="002552CB">
              <w:rPr>
                <w:rFonts w:eastAsia="Calibri" w:cstheme="minorHAnsi"/>
              </w:rPr>
              <w:t>1</w:t>
            </w:r>
            <w:r w:rsidR="00FF0C0A" w:rsidRPr="002552CB">
              <w:rPr>
                <w:rFonts w:eastAsia="Calibri" w:cstheme="minorHAnsi"/>
              </w:rPr>
              <w:t>4</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69386522" w14:textId="77777777" w:rsidR="00B0370D" w:rsidRPr="002552CB" w:rsidRDefault="00B0370D" w:rsidP="00B0370D">
            <w:pPr>
              <w:jc w:val="center"/>
              <w:rPr>
                <w:rFonts w:eastAsia="Calibri" w:cstheme="minorHAnsi"/>
              </w:rPr>
            </w:pPr>
            <w:r w:rsidRPr="002552CB">
              <w:rPr>
                <w:rFonts w:eastAsia="Calibri" w:cstheme="minorHAnsi"/>
              </w:rPr>
              <w:t>9</w:t>
            </w:r>
          </w:p>
        </w:tc>
      </w:tr>
    </w:tbl>
    <w:p w14:paraId="685AC715" w14:textId="31A8E151" w:rsidR="17939C4B" w:rsidRPr="002552CB" w:rsidRDefault="17939C4B" w:rsidP="17939C4B">
      <w:pPr>
        <w:rPr>
          <w:rFonts w:cstheme="minorHAnsi"/>
        </w:rPr>
      </w:pPr>
    </w:p>
    <w:p w14:paraId="1C8566B5" w14:textId="45B43B5B" w:rsidR="00B0370D" w:rsidRPr="002552CB" w:rsidRDefault="00AA3533" w:rsidP="002552CB">
      <w:pPr>
        <w:pStyle w:val="NoSpacing"/>
        <w:numPr>
          <w:ilvl w:val="0"/>
          <w:numId w:val="24"/>
        </w:numPr>
        <w:rPr>
          <w:rFonts w:cstheme="minorHAnsi"/>
        </w:rPr>
      </w:pPr>
      <w:r w:rsidRPr="002552CB">
        <w:rPr>
          <w:rFonts w:cstheme="minorHAnsi"/>
        </w:rPr>
        <w:t xml:space="preserve">Associated student fees or tuition differentials are </w:t>
      </w:r>
      <w:r w:rsidR="00DC25D5" w:rsidRPr="002552CB">
        <w:rPr>
          <w:rFonts w:cstheme="minorHAnsi"/>
        </w:rPr>
        <w:t>not covered by the university and</w:t>
      </w:r>
      <w:r w:rsidR="00FB1891" w:rsidRPr="002552CB">
        <w:rPr>
          <w:rFonts w:cstheme="minorHAnsi"/>
        </w:rPr>
        <w:t xml:space="preserve"> are not calculated as tuition remission. </w:t>
      </w:r>
    </w:p>
    <w:p w14:paraId="1E938103" w14:textId="48DD960F" w:rsidR="00175209" w:rsidRPr="002552CB" w:rsidRDefault="003C0E39" w:rsidP="002552CB">
      <w:pPr>
        <w:pStyle w:val="NoSpacing"/>
        <w:numPr>
          <w:ilvl w:val="0"/>
          <w:numId w:val="23"/>
        </w:numPr>
        <w:rPr>
          <w:rFonts w:cstheme="minorHAnsi"/>
        </w:rPr>
      </w:pPr>
      <w:r w:rsidRPr="002552CB">
        <w:rPr>
          <w:rFonts w:cstheme="minorHAnsi"/>
        </w:rPr>
        <w:t xml:space="preserve">Tuition Remission </w:t>
      </w:r>
      <w:r w:rsidR="00163F02" w:rsidRPr="002552CB">
        <w:rPr>
          <w:rFonts w:cstheme="minorHAnsi"/>
        </w:rPr>
        <w:t>will be</w:t>
      </w:r>
      <w:r w:rsidRPr="002552CB">
        <w:rPr>
          <w:rFonts w:cstheme="minorHAnsi"/>
        </w:rPr>
        <w:t xml:space="preserve"> identified as a direct cost in the “Other” budget category with the following justification</w:t>
      </w:r>
      <w:r w:rsidR="007454A1" w:rsidRPr="002552CB">
        <w:rPr>
          <w:rFonts w:cstheme="minorHAnsi"/>
        </w:rPr>
        <w:t xml:space="preserve"> to the sponsor</w:t>
      </w:r>
      <w:r w:rsidRPr="002552CB">
        <w:rPr>
          <w:rFonts w:cstheme="minorHAnsi"/>
        </w:rPr>
        <w:t xml:space="preserve"> “Tuition remission is provided to all Northern Illinois University graduate </w:t>
      </w:r>
      <w:r w:rsidR="00DD0FC6" w:rsidRPr="002552CB">
        <w:rPr>
          <w:rFonts w:cstheme="minorHAnsi"/>
        </w:rPr>
        <w:t>assistants</w:t>
      </w:r>
      <w:r w:rsidRPr="002552CB">
        <w:rPr>
          <w:rFonts w:cstheme="minorHAnsi"/>
        </w:rPr>
        <w:t xml:space="preserve"> employed on non-sponsored as well as sponsored activities and in accordance with the provision of 2 CFR 200.466.”</w:t>
      </w:r>
    </w:p>
    <w:p w14:paraId="50B0B1E4" w14:textId="5DFC9F10" w:rsidR="007454A1" w:rsidRPr="002552CB" w:rsidRDefault="3C875A62" w:rsidP="002552CB">
      <w:pPr>
        <w:pStyle w:val="NoSpacing"/>
        <w:numPr>
          <w:ilvl w:val="0"/>
          <w:numId w:val="23"/>
        </w:numPr>
        <w:rPr>
          <w:rFonts w:cstheme="minorHAnsi"/>
        </w:rPr>
      </w:pPr>
      <w:r w:rsidRPr="002552CB">
        <w:rPr>
          <w:rFonts w:cstheme="minorHAnsi"/>
        </w:rPr>
        <w:t xml:space="preserve">Tuition Remission </w:t>
      </w:r>
      <w:r w:rsidR="6F929382" w:rsidRPr="002552CB">
        <w:rPr>
          <w:rFonts w:cstheme="minorHAnsi"/>
        </w:rPr>
        <w:t xml:space="preserve">is excluded from indirect cost </w:t>
      </w:r>
      <w:r w:rsidR="1833AB0D" w:rsidRPr="002552CB">
        <w:rPr>
          <w:rFonts w:cstheme="minorHAnsi"/>
        </w:rPr>
        <w:t xml:space="preserve">recovery </w:t>
      </w:r>
      <w:r w:rsidR="186032F9" w:rsidRPr="002552CB">
        <w:rPr>
          <w:rFonts w:cstheme="minorHAnsi"/>
        </w:rPr>
        <w:t xml:space="preserve">when applying NIU’s federally negotiated indirect cost rates or </w:t>
      </w:r>
      <w:r w:rsidR="42287D2A" w:rsidRPr="002552CB">
        <w:rPr>
          <w:rFonts w:cstheme="minorHAnsi"/>
        </w:rPr>
        <w:t xml:space="preserve">if </w:t>
      </w:r>
      <w:r w:rsidR="186032F9" w:rsidRPr="002552CB">
        <w:rPr>
          <w:rFonts w:cstheme="minorHAnsi"/>
        </w:rPr>
        <w:t>otherwise stipulated by the sponsor.</w:t>
      </w:r>
    </w:p>
    <w:p w14:paraId="767F8F67" w14:textId="404110CC" w:rsidR="001D7475" w:rsidRPr="002552CB" w:rsidRDefault="3B66E052" w:rsidP="002552CB">
      <w:pPr>
        <w:pStyle w:val="NoSpacing"/>
        <w:numPr>
          <w:ilvl w:val="0"/>
          <w:numId w:val="23"/>
        </w:numPr>
        <w:rPr>
          <w:rFonts w:cstheme="minorHAnsi"/>
        </w:rPr>
      </w:pPr>
      <w:r w:rsidRPr="002552CB">
        <w:rPr>
          <w:rFonts w:cstheme="minorHAnsi"/>
        </w:rPr>
        <w:t xml:space="preserve">Tuition </w:t>
      </w:r>
      <w:r w:rsidR="5D216086" w:rsidRPr="002552CB">
        <w:rPr>
          <w:rFonts w:cstheme="minorHAnsi"/>
        </w:rPr>
        <w:t xml:space="preserve">Remission is considered a restricted budget line </w:t>
      </w:r>
      <w:r w:rsidR="72E47BDF" w:rsidRPr="002552CB">
        <w:rPr>
          <w:rFonts w:cstheme="minorHAnsi"/>
        </w:rPr>
        <w:t xml:space="preserve">in </w:t>
      </w:r>
      <w:r w:rsidR="27BC77F5" w:rsidRPr="002552CB">
        <w:rPr>
          <w:rFonts w:cstheme="minorHAnsi"/>
        </w:rPr>
        <w:t>the NIU PeopleSoft budget.</w:t>
      </w:r>
      <w:r w:rsidR="72E47BDF" w:rsidRPr="002552CB">
        <w:rPr>
          <w:rFonts w:cstheme="minorHAnsi"/>
        </w:rPr>
        <w:t xml:space="preserve"> Any</w:t>
      </w:r>
      <w:r w:rsidR="5D216086" w:rsidRPr="002552CB">
        <w:rPr>
          <w:rFonts w:cstheme="minorHAnsi"/>
        </w:rPr>
        <w:t xml:space="preserve"> rebudgeting out of the </w:t>
      </w:r>
      <w:r w:rsidR="5CA8E94E" w:rsidRPr="002552CB">
        <w:rPr>
          <w:rFonts w:cstheme="minorHAnsi"/>
        </w:rPr>
        <w:t xml:space="preserve">budget </w:t>
      </w:r>
      <w:r w:rsidR="5D216086" w:rsidRPr="002552CB">
        <w:rPr>
          <w:rFonts w:cstheme="minorHAnsi"/>
        </w:rPr>
        <w:t xml:space="preserve">line during post award </w:t>
      </w:r>
      <w:r w:rsidR="004E4DC8" w:rsidRPr="002552CB">
        <w:rPr>
          <w:rFonts w:cstheme="minorHAnsi"/>
        </w:rPr>
        <w:t>requires prior SPA approval.</w:t>
      </w:r>
      <w:r w:rsidR="5D216086" w:rsidRPr="002552CB">
        <w:rPr>
          <w:rFonts w:cstheme="minorHAnsi"/>
        </w:rPr>
        <w:t xml:space="preserve"> </w:t>
      </w:r>
      <w:r w:rsidR="72E47BDF" w:rsidRPr="002552CB">
        <w:rPr>
          <w:rFonts w:cstheme="minorHAnsi"/>
        </w:rPr>
        <w:t xml:space="preserve"> </w:t>
      </w:r>
      <w:r w:rsidR="3D6A3D1A" w:rsidRPr="002552CB">
        <w:rPr>
          <w:rFonts w:cstheme="minorHAnsi"/>
        </w:rPr>
        <w:t xml:space="preserve">  </w:t>
      </w:r>
    </w:p>
    <w:p w14:paraId="1468429E" w14:textId="76A60098" w:rsidR="001D7475" w:rsidRPr="002552CB" w:rsidRDefault="00660943" w:rsidP="001D7475">
      <w:pPr>
        <w:pStyle w:val="NoSpacing"/>
        <w:numPr>
          <w:ilvl w:val="0"/>
          <w:numId w:val="23"/>
        </w:numPr>
        <w:rPr>
          <w:rFonts w:cstheme="minorHAnsi"/>
        </w:rPr>
      </w:pPr>
      <w:r w:rsidRPr="002552CB">
        <w:rPr>
          <w:rFonts w:cstheme="minorHAnsi"/>
        </w:rPr>
        <w:t>Investigators wishing to add a</w:t>
      </w:r>
      <w:r w:rsidR="009C23FD" w:rsidRPr="002552CB">
        <w:rPr>
          <w:rFonts w:cstheme="minorHAnsi"/>
        </w:rPr>
        <w:t xml:space="preserve"> </w:t>
      </w:r>
      <w:r w:rsidR="009A008C" w:rsidRPr="002552CB">
        <w:rPr>
          <w:rFonts w:cstheme="minorHAnsi"/>
        </w:rPr>
        <w:t>g</w:t>
      </w:r>
      <w:r w:rsidR="009C23FD" w:rsidRPr="002552CB">
        <w:rPr>
          <w:rFonts w:cstheme="minorHAnsi"/>
        </w:rPr>
        <w:t xml:space="preserve">raduate </w:t>
      </w:r>
      <w:r w:rsidR="009A008C" w:rsidRPr="002552CB">
        <w:rPr>
          <w:rFonts w:cstheme="minorHAnsi"/>
        </w:rPr>
        <w:t>a</w:t>
      </w:r>
      <w:r w:rsidR="009C23FD" w:rsidRPr="002552CB">
        <w:rPr>
          <w:rFonts w:cstheme="minorHAnsi"/>
        </w:rPr>
        <w:t xml:space="preserve">ssistant to a </w:t>
      </w:r>
      <w:r w:rsidR="00001060" w:rsidRPr="002552CB">
        <w:rPr>
          <w:rFonts w:cstheme="minorHAnsi"/>
        </w:rPr>
        <w:t xml:space="preserve">funded </w:t>
      </w:r>
      <w:r w:rsidR="009C23FD" w:rsidRPr="002552CB">
        <w:rPr>
          <w:rFonts w:cstheme="minorHAnsi"/>
        </w:rPr>
        <w:t>project</w:t>
      </w:r>
      <w:r w:rsidRPr="002552CB">
        <w:rPr>
          <w:rFonts w:cstheme="minorHAnsi"/>
        </w:rPr>
        <w:t xml:space="preserve"> will</w:t>
      </w:r>
      <w:r w:rsidR="0072229A" w:rsidRPr="002552CB">
        <w:rPr>
          <w:rFonts w:cstheme="minorHAnsi"/>
        </w:rPr>
        <w:t xml:space="preserve"> need to include the </w:t>
      </w:r>
      <w:r w:rsidR="001D7475" w:rsidRPr="002552CB">
        <w:rPr>
          <w:rFonts w:cstheme="minorHAnsi"/>
        </w:rPr>
        <w:t>associated tuition remission costs.</w:t>
      </w:r>
      <w:r w:rsidR="0072229A" w:rsidRPr="002552CB">
        <w:rPr>
          <w:rFonts w:cstheme="minorHAnsi"/>
        </w:rPr>
        <w:t xml:space="preserve"> This will likely require rebudgeting funds from another budget category</w:t>
      </w:r>
      <w:r w:rsidR="009928E8" w:rsidRPr="002552CB">
        <w:rPr>
          <w:rFonts w:cstheme="minorHAnsi"/>
        </w:rPr>
        <w:t xml:space="preserve"> and may require sponsor approval</w:t>
      </w:r>
      <w:r w:rsidR="0072229A" w:rsidRPr="002552CB">
        <w:rPr>
          <w:rFonts w:cstheme="minorHAnsi"/>
        </w:rPr>
        <w:t>.</w:t>
      </w:r>
    </w:p>
    <w:p w14:paraId="457252FA" w14:textId="113AEAFA" w:rsidR="00401BE0" w:rsidRPr="002552CB" w:rsidRDefault="00B950EC" w:rsidP="00401BE0">
      <w:pPr>
        <w:pStyle w:val="NoSpacing"/>
        <w:numPr>
          <w:ilvl w:val="0"/>
          <w:numId w:val="23"/>
        </w:numPr>
        <w:rPr>
          <w:rFonts w:cstheme="minorHAnsi"/>
        </w:rPr>
      </w:pPr>
      <w:r w:rsidRPr="002552CB">
        <w:rPr>
          <w:rFonts w:cstheme="minorHAnsi"/>
        </w:rPr>
        <w:t xml:space="preserve">Tuition remission </w:t>
      </w:r>
      <w:r w:rsidR="002819D9" w:rsidRPr="002552CB">
        <w:rPr>
          <w:rFonts w:cstheme="minorHAnsi"/>
        </w:rPr>
        <w:t xml:space="preserve">payments </w:t>
      </w:r>
      <w:r w:rsidR="00804C06" w:rsidRPr="002552CB">
        <w:rPr>
          <w:rFonts w:cstheme="minorHAnsi"/>
        </w:rPr>
        <w:t xml:space="preserve">are posted directly to the student’s Bursar accounts and </w:t>
      </w:r>
      <w:r w:rsidR="004B4C5A" w:rsidRPr="002552CB">
        <w:rPr>
          <w:rFonts w:cstheme="minorHAnsi"/>
        </w:rPr>
        <w:t xml:space="preserve">are </w:t>
      </w:r>
      <w:r w:rsidR="00804C06" w:rsidRPr="002552CB">
        <w:rPr>
          <w:rFonts w:cstheme="minorHAnsi"/>
        </w:rPr>
        <w:t>charged to the sponsored</w:t>
      </w:r>
      <w:r w:rsidR="004B4C5A" w:rsidRPr="002552CB">
        <w:rPr>
          <w:rFonts w:cstheme="minorHAnsi"/>
        </w:rPr>
        <w:t xml:space="preserve"> award</w:t>
      </w:r>
      <w:r w:rsidR="00804C06" w:rsidRPr="002552CB">
        <w:rPr>
          <w:rFonts w:cstheme="minorHAnsi"/>
        </w:rPr>
        <w:t xml:space="preserve"> through the Peo</w:t>
      </w:r>
      <w:r w:rsidR="00175209" w:rsidRPr="002552CB">
        <w:rPr>
          <w:rFonts w:cstheme="minorHAnsi"/>
        </w:rPr>
        <w:t>pleSoft Financial Management System.</w:t>
      </w:r>
    </w:p>
    <w:p w14:paraId="366F85B9" w14:textId="476F1EBA" w:rsidR="00E8212F" w:rsidRPr="002552CB" w:rsidRDefault="00213439" w:rsidP="00385BCA">
      <w:pPr>
        <w:pStyle w:val="NoSpacing"/>
        <w:numPr>
          <w:ilvl w:val="0"/>
          <w:numId w:val="23"/>
        </w:numPr>
        <w:rPr>
          <w:rFonts w:cstheme="minorHAnsi"/>
        </w:rPr>
      </w:pPr>
      <w:r w:rsidRPr="002552CB">
        <w:rPr>
          <w:rFonts w:cstheme="minorHAnsi"/>
        </w:rPr>
        <w:t>Remission charges are based on the student’s</w:t>
      </w:r>
      <w:r w:rsidR="00AD0ABC" w:rsidRPr="002552CB">
        <w:rPr>
          <w:rFonts w:cstheme="minorHAnsi"/>
        </w:rPr>
        <w:t xml:space="preserve"> grant appointment effort and</w:t>
      </w:r>
      <w:r w:rsidRPr="002552CB">
        <w:rPr>
          <w:rFonts w:cstheme="minorHAnsi"/>
        </w:rPr>
        <w:t xml:space="preserve"> </w:t>
      </w:r>
      <w:r w:rsidR="00AD0ABC" w:rsidRPr="002552CB">
        <w:rPr>
          <w:rFonts w:cstheme="minorHAnsi"/>
        </w:rPr>
        <w:t xml:space="preserve">credit </w:t>
      </w:r>
      <w:r w:rsidRPr="002552CB">
        <w:rPr>
          <w:rFonts w:cstheme="minorHAnsi"/>
        </w:rPr>
        <w:t xml:space="preserve">enrollment </w:t>
      </w:r>
      <w:r w:rsidR="00227ADF" w:rsidRPr="002552CB">
        <w:rPr>
          <w:rFonts w:cstheme="minorHAnsi"/>
        </w:rPr>
        <w:t>for a given semester</w:t>
      </w:r>
      <w:r w:rsidR="00AD0ABC" w:rsidRPr="002552CB">
        <w:rPr>
          <w:rFonts w:cstheme="minorHAnsi"/>
        </w:rPr>
        <w:t xml:space="preserve"> up</w:t>
      </w:r>
      <w:r w:rsidR="00227ADF" w:rsidRPr="002552CB">
        <w:rPr>
          <w:rFonts w:cstheme="minorHAnsi"/>
        </w:rPr>
        <w:t xml:space="preserve"> to the max rates stipulated in this guidance.</w:t>
      </w:r>
    </w:p>
    <w:p w14:paraId="5DCCB91F" w14:textId="0CFA96B9" w:rsidR="00F302C6" w:rsidRPr="002552CB" w:rsidRDefault="00045D5E" w:rsidP="002552CB">
      <w:pPr>
        <w:pStyle w:val="Heading1"/>
      </w:pPr>
      <w:r w:rsidRPr="002552CB">
        <w:t>Cost Sharing Tuition Remission</w:t>
      </w:r>
    </w:p>
    <w:p w14:paraId="383540B6" w14:textId="400A4805" w:rsidR="00045D5E" w:rsidRPr="002552CB" w:rsidRDefault="38A35E2C" w:rsidP="00045D5E">
      <w:pPr>
        <w:pStyle w:val="NoSpacing"/>
        <w:rPr>
          <w:rFonts w:cstheme="minorHAnsi"/>
        </w:rPr>
      </w:pPr>
      <w:r w:rsidRPr="002552CB">
        <w:rPr>
          <w:rFonts w:cstheme="minorHAnsi"/>
        </w:rPr>
        <w:t xml:space="preserve">Requests to cost share tuition remission </w:t>
      </w:r>
      <w:r w:rsidR="4032DC34" w:rsidRPr="002552CB">
        <w:rPr>
          <w:rFonts w:cstheme="minorHAnsi"/>
        </w:rPr>
        <w:t>must receive approval prior to proposal submission</w:t>
      </w:r>
      <w:r w:rsidR="2D6E6B32" w:rsidRPr="002552CB">
        <w:rPr>
          <w:rFonts w:cstheme="minorHAnsi"/>
        </w:rPr>
        <w:t xml:space="preserve"> or post award rebudgeting</w:t>
      </w:r>
      <w:r w:rsidR="4032DC34" w:rsidRPr="002552CB">
        <w:rPr>
          <w:rFonts w:cstheme="minorHAnsi"/>
        </w:rPr>
        <w:t xml:space="preserve">. Investigators are </w:t>
      </w:r>
      <w:r w:rsidR="64D04508" w:rsidRPr="002552CB">
        <w:rPr>
          <w:rFonts w:cstheme="minorHAnsi"/>
        </w:rPr>
        <w:t xml:space="preserve">strongly </w:t>
      </w:r>
      <w:r w:rsidR="4032DC34" w:rsidRPr="002552CB">
        <w:rPr>
          <w:rFonts w:cstheme="minorHAnsi"/>
        </w:rPr>
        <w:t>encouraged to plan budgets in advance</w:t>
      </w:r>
      <w:r w:rsidR="32E87215" w:rsidRPr="002552CB">
        <w:rPr>
          <w:rFonts w:cstheme="minorHAnsi"/>
        </w:rPr>
        <w:t xml:space="preserve"> of sponsor</w:t>
      </w:r>
      <w:r w:rsidR="3E31E1A6" w:rsidRPr="002552CB">
        <w:rPr>
          <w:rFonts w:cstheme="minorHAnsi"/>
        </w:rPr>
        <w:t xml:space="preserve"> and university</w:t>
      </w:r>
      <w:r w:rsidR="32E87215" w:rsidRPr="002552CB">
        <w:rPr>
          <w:rFonts w:cstheme="minorHAnsi"/>
        </w:rPr>
        <w:t xml:space="preserve"> deadline</w:t>
      </w:r>
      <w:r w:rsidR="62783D10" w:rsidRPr="002552CB">
        <w:rPr>
          <w:rFonts w:cstheme="minorHAnsi"/>
        </w:rPr>
        <w:t>s</w:t>
      </w:r>
      <w:r w:rsidR="4032DC34" w:rsidRPr="002552CB">
        <w:rPr>
          <w:rFonts w:cstheme="minorHAnsi"/>
        </w:rPr>
        <w:t xml:space="preserve"> to allow time for approval</w:t>
      </w:r>
      <w:r w:rsidR="32E87215" w:rsidRPr="002552CB">
        <w:rPr>
          <w:rFonts w:cstheme="minorHAnsi"/>
        </w:rPr>
        <w:t xml:space="preserve">s, </w:t>
      </w:r>
      <w:r w:rsidR="4032DC34" w:rsidRPr="002552CB">
        <w:rPr>
          <w:rFonts w:cstheme="minorHAnsi"/>
        </w:rPr>
        <w:t>especially when pursuing programs requiring mandatory cost share.</w:t>
      </w:r>
      <w:r w:rsidR="6DA101C1" w:rsidRPr="002552CB">
        <w:rPr>
          <w:rFonts w:cstheme="minorHAnsi"/>
        </w:rPr>
        <w:t xml:space="preserve"> </w:t>
      </w:r>
    </w:p>
    <w:p w14:paraId="3300AF7B" w14:textId="77777777" w:rsidR="002C673C" w:rsidRPr="002552CB" w:rsidRDefault="002C673C" w:rsidP="00045D5E">
      <w:pPr>
        <w:pStyle w:val="NoSpacing"/>
        <w:rPr>
          <w:rFonts w:cstheme="minorHAnsi"/>
        </w:rPr>
      </w:pPr>
    </w:p>
    <w:p w14:paraId="6B33A85F" w14:textId="0474DFD2" w:rsidR="008F52F9" w:rsidRPr="002552CB" w:rsidRDefault="002C673C" w:rsidP="00045D5E">
      <w:pPr>
        <w:pStyle w:val="NoSpacing"/>
        <w:rPr>
          <w:rFonts w:cstheme="minorHAnsi"/>
        </w:rPr>
      </w:pPr>
      <w:r w:rsidRPr="002552CB">
        <w:rPr>
          <w:rFonts w:cstheme="minorHAnsi"/>
        </w:rPr>
        <w:t xml:space="preserve">Requests to cost share tuition remission are made through InfoEd </w:t>
      </w:r>
      <w:r w:rsidR="00035A60" w:rsidRPr="002552CB">
        <w:rPr>
          <w:rFonts w:cstheme="minorHAnsi"/>
        </w:rPr>
        <w:t xml:space="preserve">and require the approval of the </w:t>
      </w:r>
      <w:r w:rsidR="001D41F5" w:rsidRPr="002552CB">
        <w:rPr>
          <w:rFonts w:cstheme="minorHAnsi"/>
        </w:rPr>
        <w:t>department chair, college, RIPS</w:t>
      </w:r>
      <w:r w:rsidR="00D10DA8" w:rsidRPr="002552CB">
        <w:rPr>
          <w:rFonts w:cstheme="minorHAnsi"/>
        </w:rPr>
        <w:t>,</w:t>
      </w:r>
      <w:r w:rsidR="001D41F5" w:rsidRPr="002552CB">
        <w:rPr>
          <w:rFonts w:cstheme="minorHAnsi"/>
        </w:rPr>
        <w:t xml:space="preserve"> and Graduate School.</w:t>
      </w:r>
      <w:r w:rsidR="00B56688" w:rsidRPr="002552CB">
        <w:rPr>
          <w:rFonts w:cstheme="minorHAnsi"/>
        </w:rPr>
        <w:t xml:space="preserve"> </w:t>
      </w:r>
    </w:p>
    <w:p w14:paraId="78F4F904" w14:textId="12BB4000" w:rsidR="002418F1" w:rsidRPr="002552CB" w:rsidRDefault="002418F1" w:rsidP="002552CB">
      <w:pPr>
        <w:pStyle w:val="Heading1"/>
      </w:pPr>
      <w:r w:rsidRPr="002552CB">
        <w:t>National Institutes of Health (NIH) Cap on Graduate Student Compensation </w:t>
      </w:r>
    </w:p>
    <w:p w14:paraId="3D84B9A9" w14:textId="34930922" w:rsidR="0064666F" w:rsidRPr="002552CB" w:rsidRDefault="002418F1" w:rsidP="00E8212F">
      <w:pPr>
        <w:pStyle w:val="NoSpacing"/>
        <w:rPr>
          <w:rFonts w:cstheme="minorHAnsi"/>
        </w:rPr>
      </w:pPr>
      <w:r w:rsidRPr="002552CB">
        <w:rPr>
          <w:rFonts w:cstheme="minorHAnsi"/>
        </w:rPr>
        <w:t xml:space="preserve">The maximum amount that NIH will award to support compensation for a graduate </w:t>
      </w:r>
      <w:r w:rsidR="00152139" w:rsidRPr="002552CB">
        <w:rPr>
          <w:rFonts w:cstheme="minorHAnsi"/>
        </w:rPr>
        <w:t>research</w:t>
      </w:r>
      <w:r w:rsidRPr="002552CB">
        <w:rPr>
          <w:rFonts w:cstheme="minorHAnsi"/>
        </w:rPr>
        <w:t xml:space="preserve"> assistant remains at the stipend level for a postdoctoral scholar at zero </w:t>
      </w:r>
      <w:r w:rsidR="006C4A56" w:rsidRPr="002552CB">
        <w:rPr>
          <w:rFonts w:cstheme="minorHAnsi"/>
        </w:rPr>
        <w:t>years’ experience</w:t>
      </w:r>
      <w:r w:rsidRPr="002552CB">
        <w:rPr>
          <w:rFonts w:cstheme="minorHAnsi"/>
        </w:rPr>
        <w:t xml:space="preserve"> at the time of the award as described in the current Ruth L. </w:t>
      </w:r>
      <w:proofErr w:type="spellStart"/>
      <w:r w:rsidRPr="002552CB">
        <w:rPr>
          <w:rFonts w:cstheme="minorHAnsi"/>
        </w:rPr>
        <w:t>Kirschstein</w:t>
      </w:r>
      <w:proofErr w:type="spellEnd"/>
      <w:r w:rsidRPr="002552CB">
        <w:rPr>
          <w:rFonts w:cstheme="minorHAnsi"/>
        </w:rPr>
        <w:t xml:space="preserve"> National Research Service Award (NRSA) Stipends, Tuition/Fees and Other Budgetary Levels Notice</w:t>
      </w:r>
      <w:r w:rsidR="00445432" w:rsidRPr="002552CB">
        <w:rPr>
          <w:rFonts w:cstheme="minorHAnsi"/>
        </w:rPr>
        <w:t>. This information is</w:t>
      </w:r>
      <w:r w:rsidRPr="002552CB">
        <w:rPr>
          <w:rFonts w:cstheme="minorHAnsi"/>
        </w:rPr>
        <w:t xml:space="preserve"> release</w:t>
      </w:r>
      <w:r w:rsidR="009E04B8" w:rsidRPr="002552CB">
        <w:rPr>
          <w:rFonts w:cstheme="minorHAnsi"/>
        </w:rPr>
        <w:t>d</w:t>
      </w:r>
      <w:r w:rsidRPr="002552CB">
        <w:rPr>
          <w:rFonts w:cstheme="minorHAnsi"/>
        </w:rPr>
        <w:t xml:space="preserve"> on an annual basis and published as a notice on the NIH website. The combined sum of the graduate student stipend</w:t>
      </w:r>
      <w:r w:rsidR="00445432" w:rsidRPr="002552CB">
        <w:rPr>
          <w:rFonts w:cstheme="minorHAnsi"/>
        </w:rPr>
        <w:t xml:space="preserve"> and</w:t>
      </w:r>
      <w:r w:rsidRPr="002552CB">
        <w:rPr>
          <w:rFonts w:cstheme="minorHAnsi"/>
        </w:rPr>
        <w:t xml:space="preserve"> tuition remission costs are subject to this maximum amount. </w:t>
      </w:r>
    </w:p>
    <w:p w14:paraId="6F69ED69" w14:textId="6D2D50BD" w:rsidR="00E8212F" w:rsidRPr="002552CB" w:rsidRDefault="00FC3596" w:rsidP="002552CB">
      <w:pPr>
        <w:pStyle w:val="Heading1"/>
      </w:pPr>
      <w:r w:rsidRPr="002552CB">
        <w:t>Roles and Responsibilities</w:t>
      </w:r>
    </w:p>
    <w:p w14:paraId="7B82D69B" w14:textId="656FE7CD" w:rsidR="00D4547E" w:rsidRPr="002552CB" w:rsidRDefault="00D4547E" w:rsidP="00E8212F">
      <w:pPr>
        <w:pStyle w:val="NoSpacing"/>
        <w:rPr>
          <w:rFonts w:cstheme="minorHAnsi"/>
          <w:color w:val="C00000"/>
        </w:rPr>
      </w:pPr>
    </w:p>
    <w:p w14:paraId="61230B1C" w14:textId="3AA9EA88" w:rsidR="008304DB" w:rsidRPr="002552CB" w:rsidRDefault="00F339AF" w:rsidP="002552CB">
      <w:pPr>
        <w:pStyle w:val="Heading2"/>
      </w:pPr>
      <w:r w:rsidRPr="002552CB">
        <w:t>Principal Investigator</w:t>
      </w:r>
    </w:p>
    <w:p w14:paraId="22D9856E" w14:textId="77777777" w:rsidR="00F339AF" w:rsidRPr="002552CB" w:rsidRDefault="00F339AF" w:rsidP="00F339AF">
      <w:pPr>
        <w:pStyle w:val="NoSpacing"/>
        <w:numPr>
          <w:ilvl w:val="0"/>
          <w:numId w:val="19"/>
        </w:numPr>
        <w:rPr>
          <w:rFonts w:cstheme="minorHAnsi"/>
        </w:rPr>
      </w:pPr>
      <w:r w:rsidRPr="002552CB">
        <w:rPr>
          <w:rFonts w:cstheme="minorHAnsi"/>
        </w:rPr>
        <w:t>Include tuition remission in grant budgets when allowable.</w:t>
      </w:r>
    </w:p>
    <w:p w14:paraId="0DE08B28" w14:textId="77777777" w:rsidR="00F339AF" w:rsidRPr="002552CB" w:rsidRDefault="00F339AF" w:rsidP="00F339AF">
      <w:pPr>
        <w:pStyle w:val="NoSpacing"/>
        <w:numPr>
          <w:ilvl w:val="0"/>
          <w:numId w:val="19"/>
        </w:numPr>
        <w:rPr>
          <w:rFonts w:cstheme="minorHAnsi"/>
        </w:rPr>
      </w:pPr>
      <w:r w:rsidRPr="002552CB">
        <w:rPr>
          <w:rFonts w:cstheme="minorHAnsi"/>
        </w:rPr>
        <w:t>Explain the necessity of tuition remission for the success of the sponsored program as part of the budget justification.</w:t>
      </w:r>
    </w:p>
    <w:p w14:paraId="7A4727DD" w14:textId="77777777" w:rsidR="00F339AF" w:rsidRPr="002552CB" w:rsidRDefault="00F339AF" w:rsidP="00F339AF">
      <w:pPr>
        <w:pStyle w:val="NoSpacing"/>
        <w:numPr>
          <w:ilvl w:val="0"/>
          <w:numId w:val="19"/>
        </w:numPr>
        <w:rPr>
          <w:rFonts w:cstheme="minorHAnsi"/>
        </w:rPr>
      </w:pPr>
      <w:r w:rsidRPr="002552CB">
        <w:rPr>
          <w:rFonts w:cstheme="minorHAnsi"/>
        </w:rPr>
        <w:lastRenderedPageBreak/>
        <w:t>Monitor the allocation of tuition remission funds to ensure they are used solely for eligible students and purposes.</w:t>
      </w:r>
    </w:p>
    <w:p w14:paraId="0E8BE937" w14:textId="77777777" w:rsidR="00924421" w:rsidRPr="002552CB" w:rsidRDefault="00924421" w:rsidP="00924421">
      <w:pPr>
        <w:pStyle w:val="NoSpacing"/>
        <w:ind w:left="720"/>
        <w:rPr>
          <w:rFonts w:cstheme="minorHAnsi"/>
        </w:rPr>
      </w:pPr>
    </w:p>
    <w:p w14:paraId="75B26020" w14:textId="4182314B" w:rsidR="00905E0B" w:rsidRPr="002552CB" w:rsidRDefault="00F339AF" w:rsidP="002552CB">
      <w:pPr>
        <w:pStyle w:val="Heading2"/>
      </w:pPr>
      <w:r w:rsidRPr="002552CB">
        <w:t>Sponsored Programs Administration</w:t>
      </w:r>
    </w:p>
    <w:p w14:paraId="73D80AC8" w14:textId="3D220AF0" w:rsidR="00F339AF" w:rsidRPr="002552CB" w:rsidRDefault="00F339AF" w:rsidP="00F339AF">
      <w:pPr>
        <w:pStyle w:val="NoSpacing"/>
        <w:numPr>
          <w:ilvl w:val="0"/>
          <w:numId w:val="20"/>
        </w:numPr>
        <w:rPr>
          <w:rFonts w:cstheme="minorHAnsi"/>
        </w:rPr>
      </w:pPr>
      <w:r w:rsidRPr="002552CB">
        <w:rPr>
          <w:rFonts w:cstheme="minorHAnsi"/>
        </w:rPr>
        <w:t>Advise </w:t>
      </w:r>
      <w:r w:rsidR="00056378" w:rsidRPr="002552CB">
        <w:rPr>
          <w:rFonts w:cstheme="minorHAnsi"/>
        </w:rPr>
        <w:t>principal investigators</w:t>
      </w:r>
      <w:r w:rsidRPr="002552CB">
        <w:rPr>
          <w:rFonts w:cstheme="minorHAnsi"/>
        </w:rPr>
        <w:t xml:space="preserve"> on </w:t>
      </w:r>
      <w:r w:rsidR="00924421" w:rsidRPr="002552CB">
        <w:rPr>
          <w:rFonts w:cstheme="minorHAnsi"/>
        </w:rPr>
        <w:t>appropriate calculations for</w:t>
      </w:r>
      <w:r w:rsidRPr="002552CB">
        <w:rPr>
          <w:rFonts w:cstheme="minorHAnsi"/>
        </w:rPr>
        <w:t xml:space="preserve"> tuition remission on sponsored programs.</w:t>
      </w:r>
    </w:p>
    <w:p w14:paraId="422287E7" w14:textId="07F03A9C" w:rsidR="00F339AF" w:rsidRPr="002552CB" w:rsidRDefault="00F339AF" w:rsidP="00F339AF">
      <w:pPr>
        <w:pStyle w:val="NoSpacing"/>
        <w:numPr>
          <w:ilvl w:val="0"/>
          <w:numId w:val="20"/>
        </w:numPr>
        <w:rPr>
          <w:rFonts w:cstheme="minorHAnsi"/>
        </w:rPr>
      </w:pPr>
      <w:r w:rsidRPr="002552CB">
        <w:rPr>
          <w:rFonts w:cstheme="minorHAnsi"/>
        </w:rPr>
        <w:t>Provide guidance to departments and principal investigators on the application of grant</w:t>
      </w:r>
      <w:r w:rsidR="004C28A7" w:rsidRPr="002552CB">
        <w:rPr>
          <w:rFonts w:cstheme="minorHAnsi"/>
        </w:rPr>
        <w:t xml:space="preserve"> funded</w:t>
      </w:r>
      <w:r w:rsidRPr="002552CB">
        <w:rPr>
          <w:rFonts w:cstheme="minorHAnsi"/>
        </w:rPr>
        <w:t xml:space="preserve"> tuition remission </w:t>
      </w:r>
      <w:r w:rsidR="00924421" w:rsidRPr="002552CB">
        <w:rPr>
          <w:rFonts w:cstheme="minorHAnsi"/>
        </w:rPr>
        <w:t>processes.</w:t>
      </w:r>
    </w:p>
    <w:p w14:paraId="41C47C77" w14:textId="77777777" w:rsidR="00F339AF" w:rsidRPr="002552CB" w:rsidRDefault="00F339AF" w:rsidP="00F339AF">
      <w:pPr>
        <w:pStyle w:val="NoSpacing"/>
        <w:numPr>
          <w:ilvl w:val="0"/>
          <w:numId w:val="20"/>
        </w:numPr>
        <w:rPr>
          <w:rFonts w:cstheme="minorHAnsi"/>
        </w:rPr>
      </w:pPr>
      <w:r w:rsidRPr="002552CB">
        <w:rPr>
          <w:rFonts w:cstheme="minorHAnsi"/>
        </w:rPr>
        <w:t>Review grant proposals to ensure that tuition remission is properly budgeted and meets institutional and sponsor policies.</w:t>
      </w:r>
    </w:p>
    <w:p w14:paraId="29E7A903" w14:textId="3319E544" w:rsidR="00F339AF" w:rsidRPr="002552CB" w:rsidRDefault="00F339AF" w:rsidP="00F339AF">
      <w:pPr>
        <w:pStyle w:val="NoSpacing"/>
        <w:numPr>
          <w:ilvl w:val="0"/>
          <w:numId w:val="20"/>
        </w:numPr>
        <w:rPr>
          <w:rFonts w:cstheme="minorHAnsi"/>
        </w:rPr>
      </w:pPr>
      <w:r w:rsidRPr="002552CB">
        <w:rPr>
          <w:rFonts w:cstheme="minorHAnsi"/>
        </w:rPr>
        <w:t xml:space="preserve">Manage the financial aspects of charging tuition remission to </w:t>
      </w:r>
      <w:r w:rsidR="00C04BBF" w:rsidRPr="002552CB">
        <w:rPr>
          <w:rFonts w:cstheme="minorHAnsi"/>
        </w:rPr>
        <w:t xml:space="preserve">sponsored </w:t>
      </w:r>
      <w:r w:rsidRPr="002552CB">
        <w:rPr>
          <w:rFonts w:cstheme="minorHAnsi"/>
        </w:rPr>
        <w:t>awards.</w:t>
      </w:r>
    </w:p>
    <w:p w14:paraId="02CFB371" w14:textId="77777777" w:rsidR="00905E0B" w:rsidRPr="002552CB" w:rsidRDefault="00905E0B" w:rsidP="002552CB">
      <w:pPr>
        <w:pStyle w:val="Heading2"/>
        <w:rPr>
          <w:sz w:val="22"/>
          <w:szCs w:val="22"/>
        </w:rPr>
      </w:pPr>
    </w:p>
    <w:p w14:paraId="374BB261" w14:textId="5CB25C0C" w:rsidR="00F339AF" w:rsidRPr="002552CB" w:rsidRDefault="00F339AF" w:rsidP="002552CB">
      <w:pPr>
        <w:pStyle w:val="Heading2"/>
      </w:pPr>
      <w:r w:rsidRPr="002552CB">
        <w:t>Graduate School</w:t>
      </w:r>
    </w:p>
    <w:p w14:paraId="6E07085B" w14:textId="77777777" w:rsidR="00F339AF" w:rsidRPr="002552CB" w:rsidRDefault="00F339AF" w:rsidP="00F339AF">
      <w:pPr>
        <w:pStyle w:val="NoSpacing"/>
        <w:numPr>
          <w:ilvl w:val="0"/>
          <w:numId w:val="21"/>
        </w:numPr>
        <w:rPr>
          <w:rFonts w:cstheme="minorHAnsi"/>
        </w:rPr>
      </w:pPr>
      <w:r w:rsidRPr="002552CB">
        <w:rPr>
          <w:rFonts w:cstheme="minorHAnsi"/>
        </w:rPr>
        <w:t>Determine eligibility for tuition remission for graduate students.</w:t>
      </w:r>
    </w:p>
    <w:p w14:paraId="1ED87216" w14:textId="77777777" w:rsidR="00F339AF" w:rsidRPr="002552CB" w:rsidRDefault="00F339AF" w:rsidP="00F339AF">
      <w:pPr>
        <w:pStyle w:val="NoSpacing"/>
        <w:numPr>
          <w:ilvl w:val="0"/>
          <w:numId w:val="21"/>
        </w:numPr>
        <w:rPr>
          <w:rFonts w:cstheme="minorHAnsi"/>
        </w:rPr>
      </w:pPr>
      <w:r w:rsidRPr="002552CB">
        <w:rPr>
          <w:rFonts w:cstheme="minorHAnsi"/>
        </w:rPr>
        <w:t>Communicate general tuition waiver policies and changes to students and departments.</w:t>
      </w:r>
    </w:p>
    <w:p w14:paraId="2DBC3544" w14:textId="074398BF" w:rsidR="00C20971" w:rsidRPr="002552CB" w:rsidRDefault="00C20971" w:rsidP="00F339AF">
      <w:pPr>
        <w:pStyle w:val="NoSpacing"/>
        <w:numPr>
          <w:ilvl w:val="0"/>
          <w:numId w:val="21"/>
        </w:numPr>
        <w:rPr>
          <w:rFonts w:cstheme="minorHAnsi"/>
        </w:rPr>
      </w:pPr>
      <w:r w:rsidRPr="002552CB">
        <w:rPr>
          <w:rFonts w:cstheme="minorHAnsi"/>
        </w:rPr>
        <w:t>Authorize cost share for tuition remission</w:t>
      </w:r>
      <w:r w:rsidR="00AD0ABC" w:rsidRPr="002552CB">
        <w:rPr>
          <w:rFonts w:cstheme="minorHAnsi"/>
        </w:rPr>
        <w:t>.</w:t>
      </w:r>
    </w:p>
    <w:p w14:paraId="709D868A" w14:textId="77777777" w:rsidR="00F339AF" w:rsidRPr="002552CB" w:rsidRDefault="00F339AF" w:rsidP="00F339AF">
      <w:pPr>
        <w:pStyle w:val="NoSpacing"/>
        <w:numPr>
          <w:ilvl w:val="0"/>
          <w:numId w:val="21"/>
        </w:numPr>
        <w:rPr>
          <w:rFonts w:cstheme="minorHAnsi"/>
        </w:rPr>
      </w:pPr>
      <w:r w:rsidRPr="002552CB">
        <w:rPr>
          <w:rFonts w:cstheme="minorHAnsi"/>
        </w:rPr>
        <w:t xml:space="preserve">Coordinate with the Sponsored Programs Administration to address tuition remission matters related to grants. </w:t>
      </w:r>
    </w:p>
    <w:p w14:paraId="68A599DD" w14:textId="77777777" w:rsidR="00EF5BA2" w:rsidRPr="002552CB" w:rsidRDefault="00EF5BA2" w:rsidP="00EF5BA2">
      <w:pPr>
        <w:pStyle w:val="NoSpacing"/>
        <w:ind w:left="720"/>
        <w:rPr>
          <w:rFonts w:cstheme="minorHAnsi"/>
        </w:rPr>
      </w:pPr>
    </w:p>
    <w:p w14:paraId="21B0C135" w14:textId="2A77FA3B" w:rsidR="00F339AF" w:rsidRPr="002552CB" w:rsidRDefault="00F339AF" w:rsidP="002552CB">
      <w:pPr>
        <w:pStyle w:val="Heading1"/>
      </w:pPr>
      <w:r w:rsidRPr="002552CB">
        <w:t>Related University Policies</w:t>
      </w:r>
    </w:p>
    <w:p w14:paraId="14F0BFA2" w14:textId="77777777" w:rsidR="00F339AF" w:rsidRPr="002552CB" w:rsidRDefault="00F339AF" w:rsidP="002552CB">
      <w:pPr>
        <w:pStyle w:val="NoSpacing"/>
        <w:numPr>
          <w:ilvl w:val="0"/>
          <w:numId w:val="25"/>
        </w:numPr>
        <w:rPr>
          <w:rFonts w:cstheme="minorHAnsi"/>
        </w:rPr>
      </w:pPr>
      <w:hyperlink r:id="rId11" w:history="1">
        <w:r w:rsidRPr="002552CB">
          <w:rPr>
            <w:rStyle w:val="Hyperlink"/>
            <w:rFonts w:cstheme="minorHAnsi"/>
          </w:rPr>
          <w:t>Policies Pertaining to Graduate Assistantships</w:t>
        </w:r>
      </w:hyperlink>
    </w:p>
    <w:p w14:paraId="72F47839" w14:textId="77777777" w:rsidR="00F339AF" w:rsidRPr="002552CB" w:rsidRDefault="00F339AF" w:rsidP="002552CB">
      <w:pPr>
        <w:pStyle w:val="NoSpacing"/>
        <w:numPr>
          <w:ilvl w:val="0"/>
          <w:numId w:val="25"/>
        </w:numPr>
        <w:rPr>
          <w:rFonts w:cstheme="minorHAnsi"/>
        </w:rPr>
      </w:pPr>
      <w:hyperlink r:id="rId12" w:history="1">
        <w:r w:rsidRPr="002552CB">
          <w:rPr>
            <w:rStyle w:val="Hyperlink"/>
            <w:rFonts w:cstheme="minorHAnsi"/>
          </w:rPr>
          <w:t>Tuition and Fee Waiver Policy</w:t>
        </w:r>
      </w:hyperlink>
    </w:p>
    <w:p w14:paraId="27B522C3" w14:textId="543E2C3F" w:rsidR="00F339AF" w:rsidRPr="002552CB" w:rsidRDefault="00F339AF" w:rsidP="002552CB">
      <w:pPr>
        <w:pStyle w:val="NoSpacing"/>
        <w:numPr>
          <w:ilvl w:val="0"/>
          <w:numId w:val="25"/>
        </w:numPr>
        <w:rPr>
          <w:rFonts w:cstheme="minorHAnsi"/>
        </w:rPr>
      </w:pPr>
      <w:hyperlink r:id="rId13" w:history="1">
        <w:r w:rsidRPr="002552CB">
          <w:rPr>
            <w:rStyle w:val="Hyperlink"/>
            <w:rFonts w:cstheme="minorHAnsi"/>
          </w:rPr>
          <w:t xml:space="preserve">Effort </w:t>
        </w:r>
        <w:r w:rsidR="004F3FFA" w:rsidRPr="002552CB">
          <w:rPr>
            <w:rStyle w:val="Hyperlink"/>
            <w:rFonts w:cstheme="minorHAnsi"/>
          </w:rPr>
          <w:t>Reporting</w:t>
        </w:r>
      </w:hyperlink>
    </w:p>
    <w:p w14:paraId="7084DF9D" w14:textId="15F22040" w:rsidR="00EF5BA2" w:rsidRPr="002552CB" w:rsidRDefault="00EF5BA2" w:rsidP="002552CB">
      <w:pPr>
        <w:pStyle w:val="NoSpacing"/>
        <w:numPr>
          <w:ilvl w:val="0"/>
          <w:numId w:val="25"/>
        </w:numPr>
        <w:rPr>
          <w:rFonts w:cstheme="minorHAnsi"/>
        </w:rPr>
      </w:pPr>
      <w:hyperlink r:id="rId14" w:history="1">
        <w:r w:rsidRPr="002552CB">
          <w:rPr>
            <w:rStyle w:val="Hyperlink"/>
            <w:rFonts w:cstheme="minorHAnsi"/>
          </w:rPr>
          <w:t>Cost Shar</w:t>
        </w:r>
        <w:r w:rsidR="00FB384D" w:rsidRPr="002552CB">
          <w:rPr>
            <w:rStyle w:val="Hyperlink"/>
            <w:rFonts w:cstheme="minorHAnsi"/>
          </w:rPr>
          <w:t>ing</w:t>
        </w:r>
      </w:hyperlink>
    </w:p>
    <w:p w14:paraId="02D7E384" w14:textId="2374FCF7" w:rsidR="00E8212F" w:rsidRPr="002552CB" w:rsidRDefault="00913EB0" w:rsidP="00E8212F">
      <w:pPr>
        <w:pStyle w:val="NoSpacing"/>
        <w:rPr>
          <w:rFonts w:cstheme="minorHAnsi"/>
        </w:rPr>
      </w:pPr>
      <w:r w:rsidRPr="002552CB">
        <w:rPr>
          <w:rFonts w:cstheme="minorHAnsi"/>
        </w:rPr>
        <w:t xml:space="preserve"> </w:t>
      </w:r>
    </w:p>
    <w:sectPr w:rsidR="00E8212F" w:rsidRPr="002552CB" w:rsidSect="00173C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9B97" w14:textId="77777777" w:rsidR="002D48BB" w:rsidRDefault="002D48BB" w:rsidP="009A4A55">
      <w:pPr>
        <w:spacing w:after="0" w:line="240" w:lineRule="auto"/>
      </w:pPr>
      <w:r>
        <w:separator/>
      </w:r>
    </w:p>
  </w:endnote>
  <w:endnote w:type="continuationSeparator" w:id="0">
    <w:p w14:paraId="59BADFD9" w14:textId="77777777" w:rsidR="002D48BB" w:rsidRDefault="002D48BB"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D37C" w14:textId="77777777" w:rsidR="00075469" w:rsidRDefault="0007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C880" w14:textId="6CB96526" w:rsidR="009A4A55" w:rsidRDefault="009A4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B8FB" w14:textId="77777777" w:rsidR="00075469" w:rsidRDefault="0007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5107" w14:textId="77777777" w:rsidR="002D48BB" w:rsidRDefault="002D48BB" w:rsidP="009A4A55">
      <w:pPr>
        <w:spacing w:after="0" w:line="240" w:lineRule="auto"/>
      </w:pPr>
      <w:r>
        <w:separator/>
      </w:r>
    </w:p>
  </w:footnote>
  <w:footnote w:type="continuationSeparator" w:id="0">
    <w:p w14:paraId="73845EB3" w14:textId="77777777" w:rsidR="002D48BB" w:rsidRDefault="002D48BB" w:rsidP="009A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8C1C" w14:textId="47CE9463" w:rsidR="00075469" w:rsidRDefault="0007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B250" w14:textId="5B1F8171" w:rsidR="00075469" w:rsidRDefault="00075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BDA9" w14:textId="652B43A2" w:rsidR="00075469" w:rsidRDefault="00075469">
    <w:pPr>
      <w:pStyle w:val="Header"/>
    </w:pPr>
  </w:p>
</w:hdr>
</file>

<file path=word/intelligence2.xml><?xml version="1.0" encoding="utf-8"?>
<int2:intelligence xmlns:int2="http://schemas.microsoft.com/office/intelligence/2020/intelligence" xmlns:oel="http://schemas.microsoft.com/office/2019/extlst">
  <int2:observations>
    <int2:textHash int2:hashCode="cPCJnAnpJku60d" int2:id="ql3iVOpK">
      <int2:state int2:value="Rejected" int2:type="AugLoop_Text_Critique"/>
    </int2:textHash>
    <int2:bookmark int2:bookmarkName="_Int_syYStsHn" int2:invalidationBookmarkName="" int2:hashCode="RoHRJMxsS3O6q/" int2:id="7R6Ox4Vh">
      <int2:state int2:value="Rejected" int2:type="AugLoop_Text_Critique"/>
    </int2:bookmark>
    <int2:bookmark int2:bookmarkName="_Int_UO3NjmFm" int2:invalidationBookmarkName="" int2:hashCode="RoHRJMxsS3O6q/" int2:id="FznGjyyv">
      <int2:state int2:value="Rejected" int2:type="AugLoop_Text_Critique"/>
    </int2:bookmark>
    <int2:bookmark int2:bookmarkName="_Int_5xJRS5H3" int2:invalidationBookmarkName="" int2:hashCode="RoHRJMxsS3O6q/" int2:id="fBsqP3w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BE7"/>
    <w:multiLevelType w:val="multilevel"/>
    <w:tmpl w:val="BEF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907BE"/>
    <w:multiLevelType w:val="hybridMultilevel"/>
    <w:tmpl w:val="8698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71E"/>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465DB"/>
    <w:multiLevelType w:val="hybridMultilevel"/>
    <w:tmpl w:val="A66E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E79EC"/>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91B69"/>
    <w:multiLevelType w:val="hybridMultilevel"/>
    <w:tmpl w:val="9D2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F504D"/>
    <w:multiLevelType w:val="hybridMultilevel"/>
    <w:tmpl w:val="B5B8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44AA"/>
    <w:multiLevelType w:val="multilevel"/>
    <w:tmpl w:val="E40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A3754"/>
    <w:multiLevelType w:val="multilevel"/>
    <w:tmpl w:val="B03A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2444B"/>
    <w:multiLevelType w:val="multilevel"/>
    <w:tmpl w:val="4BE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75CC6"/>
    <w:multiLevelType w:val="hybridMultilevel"/>
    <w:tmpl w:val="B3F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4B88"/>
    <w:multiLevelType w:val="hybridMultilevel"/>
    <w:tmpl w:val="E492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57D9B"/>
    <w:multiLevelType w:val="multilevel"/>
    <w:tmpl w:val="12E0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01A64"/>
    <w:multiLevelType w:val="hybridMultilevel"/>
    <w:tmpl w:val="4268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14F12"/>
    <w:multiLevelType w:val="multilevel"/>
    <w:tmpl w:val="51E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32632"/>
    <w:multiLevelType w:val="hybridMultilevel"/>
    <w:tmpl w:val="5C0E0A6E"/>
    <w:lvl w:ilvl="0" w:tplc="A244AC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214B7"/>
    <w:multiLevelType w:val="hybridMultilevel"/>
    <w:tmpl w:val="E66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77655"/>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A4BCD"/>
    <w:multiLevelType w:val="multilevel"/>
    <w:tmpl w:val="8C7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F18CA"/>
    <w:multiLevelType w:val="hybridMultilevel"/>
    <w:tmpl w:val="87FC6D2E"/>
    <w:lvl w:ilvl="0" w:tplc="6FBAC4EE">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B06E5"/>
    <w:multiLevelType w:val="hybridMultilevel"/>
    <w:tmpl w:val="C7466D76"/>
    <w:lvl w:ilvl="0" w:tplc="04090001">
      <w:start w:val="1"/>
      <w:numFmt w:val="bullet"/>
      <w:lvlText w:val=""/>
      <w:lvlJc w:val="left"/>
      <w:pPr>
        <w:ind w:left="720" w:hanging="360"/>
      </w:pPr>
      <w:rPr>
        <w:rFonts w:ascii="Symbol" w:hAnsi="Symbol" w:hint="default"/>
      </w:rPr>
    </w:lvl>
    <w:lvl w:ilvl="1" w:tplc="BDB413B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F7CA2"/>
    <w:multiLevelType w:val="hybridMultilevel"/>
    <w:tmpl w:val="54EE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A1FA7"/>
    <w:multiLevelType w:val="hybridMultilevel"/>
    <w:tmpl w:val="2838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5D3472"/>
    <w:multiLevelType w:val="hybridMultilevel"/>
    <w:tmpl w:val="7AC66680"/>
    <w:lvl w:ilvl="0" w:tplc="04090001">
      <w:start w:val="1"/>
      <w:numFmt w:val="bullet"/>
      <w:lvlText w:val=""/>
      <w:lvlJc w:val="left"/>
      <w:pPr>
        <w:ind w:left="720" w:hanging="360"/>
      </w:pPr>
      <w:rPr>
        <w:rFonts w:ascii="Symbol" w:hAnsi="Symbol" w:hint="default"/>
      </w:rPr>
    </w:lvl>
    <w:lvl w:ilvl="1" w:tplc="976EF4F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31AB8"/>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102343">
    <w:abstractNumId w:val="0"/>
  </w:num>
  <w:num w:numId="2" w16cid:durableId="324206722">
    <w:abstractNumId w:val="18"/>
  </w:num>
  <w:num w:numId="3" w16cid:durableId="2062055432">
    <w:abstractNumId w:val="23"/>
  </w:num>
  <w:num w:numId="4" w16cid:durableId="48118930">
    <w:abstractNumId w:val="6"/>
  </w:num>
  <w:num w:numId="5" w16cid:durableId="1594121889">
    <w:abstractNumId w:val="20"/>
  </w:num>
  <w:num w:numId="6" w16cid:durableId="1116946708">
    <w:abstractNumId w:val="16"/>
  </w:num>
  <w:num w:numId="7" w16cid:durableId="1887062943">
    <w:abstractNumId w:val="5"/>
  </w:num>
  <w:num w:numId="8" w16cid:durableId="24143453">
    <w:abstractNumId w:val="10"/>
  </w:num>
  <w:num w:numId="9" w16cid:durableId="1114593062">
    <w:abstractNumId w:val="2"/>
  </w:num>
  <w:num w:numId="10" w16cid:durableId="631180315">
    <w:abstractNumId w:val="17"/>
  </w:num>
  <w:num w:numId="11" w16cid:durableId="29378002">
    <w:abstractNumId w:val="14"/>
  </w:num>
  <w:num w:numId="12" w16cid:durableId="1076633901">
    <w:abstractNumId w:val="3"/>
  </w:num>
  <w:num w:numId="13" w16cid:durableId="426735178">
    <w:abstractNumId w:val="4"/>
  </w:num>
  <w:num w:numId="14" w16cid:durableId="1291977612">
    <w:abstractNumId w:val="24"/>
  </w:num>
  <w:num w:numId="15" w16cid:durableId="44372376">
    <w:abstractNumId w:val="22"/>
  </w:num>
  <w:num w:numId="16" w16cid:durableId="1670257974">
    <w:abstractNumId w:val="21"/>
  </w:num>
  <w:num w:numId="17" w16cid:durableId="322439079">
    <w:abstractNumId w:val="15"/>
  </w:num>
  <w:num w:numId="18" w16cid:durableId="1386637351">
    <w:abstractNumId w:val="19"/>
  </w:num>
  <w:num w:numId="19" w16cid:durableId="1684747474">
    <w:abstractNumId w:val="8"/>
  </w:num>
  <w:num w:numId="20" w16cid:durableId="969439470">
    <w:abstractNumId w:val="7"/>
  </w:num>
  <w:num w:numId="21" w16cid:durableId="1233539675">
    <w:abstractNumId w:val="9"/>
  </w:num>
  <w:num w:numId="22" w16cid:durableId="1756317299">
    <w:abstractNumId w:val="12"/>
  </w:num>
  <w:num w:numId="23" w16cid:durableId="372080079">
    <w:abstractNumId w:val="13"/>
  </w:num>
  <w:num w:numId="24" w16cid:durableId="1998605037">
    <w:abstractNumId w:val="11"/>
  </w:num>
  <w:num w:numId="25" w16cid:durableId="2004695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C7"/>
    <w:rsid w:val="00001060"/>
    <w:rsid w:val="00006DE3"/>
    <w:rsid w:val="00021D7F"/>
    <w:rsid w:val="000233B9"/>
    <w:rsid w:val="00024C8B"/>
    <w:rsid w:val="000263B9"/>
    <w:rsid w:val="00035A60"/>
    <w:rsid w:val="00035DA4"/>
    <w:rsid w:val="000441D7"/>
    <w:rsid w:val="00045D5E"/>
    <w:rsid w:val="00056378"/>
    <w:rsid w:val="00061692"/>
    <w:rsid w:val="0006725A"/>
    <w:rsid w:val="00072473"/>
    <w:rsid w:val="00075469"/>
    <w:rsid w:val="000856FE"/>
    <w:rsid w:val="000D0BD0"/>
    <w:rsid w:val="000E42DA"/>
    <w:rsid w:val="0010006F"/>
    <w:rsid w:val="001156FE"/>
    <w:rsid w:val="001426F7"/>
    <w:rsid w:val="00152139"/>
    <w:rsid w:val="001639D7"/>
    <w:rsid w:val="00163F02"/>
    <w:rsid w:val="00173C0D"/>
    <w:rsid w:val="00175209"/>
    <w:rsid w:val="00181AE5"/>
    <w:rsid w:val="00191A72"/>
    <w:rsid w:val="0019406E"/>
    <w:rsid w:val="001A3F77"/>
    <w:rsid w:val="001B0DE5"/>
    <w:rsid w:val="001D1AC1"/>
    <w:rsid w:val="001D41F5"/>
    <w:rsid w:val="001D6874"/>
    <w:rsid w:val="001D7475"/>
    <w:rsid w:val="001D78EC"/>
    <w:rsid w:val="001E0DC1"/>
    <w:rsid w:val="001E2490"/>
    <w:rsid w:val="001E6759"/>
    <w:rsid w:val="001F2EA4"/>
    <w:rsid w:val="00213439"/>
    <w:rsid w:val="0022118C"/>
    <w:rsid w:val="00226D07"/>
    <w:rsid w:val="00227ADF"/>
    <w:rsid w:val="00235895"/>
    <w:rsid w:val="002418F1"/>
    <w:rsid w:val="00245F4C"/>
    <w:rsid w:val="002552CB"/>
    <w:rsid w:val="0026077E"/>
    <w:rsid w:val="00261DC7"/>
    <w:rsid w:val="0026690D"/>
    <w:rsid w:val="00271C85"/>
    <w:rsid w:val="00272831"/>
    <w:rsid w:val="002819D9"/>
    <w:rsid w:val="0028493B"/>
    <w:rsid w:val="002A00E2"/>
    <w:rsid w:val="002C1338"/>
    <w:rsid w:val="002C673C"/>
    <w:rsid w:val="002D48BB"/>
    <w:rsid w:val="002F7499"/>
    <w:rsid w:val="003109F3"/>
    <w:rsid w:val="0034154C"/>
    <w:rsid w:val="0034419C"/>
    <w:rsid w:val="0036241D"/>
    <w:rsid w:val="00363F36"/>
    <w:rsid w:val="0037382A"/>
    <w:rsid w:val="003746DF"/>
    <w:rsid w:val="00383DC6"/>
    <w:rsid w:val="00385BCA"/>
    <w:rsid w:val="00390B43"/>
    <w:rsid w:val="00395701"/>
    <w:rsid w:val="003C0E39"/>
    <w:rsid w:val="003C5B46"/>
    <w:rsid w:val="003D1163"/>
    <w:rsid w:val="003E1A0B"/>
    <w:rsid w:val="003E1B3D"/>
    <w:rsid w:val="003F246B"/>
    <w:rsid w:val="00401BE0"/>
    <w:rsid w:val="00410533"/>
    <w:rsid w:val="00415A3C"/>
    <w:rsid w:val="0042489B"/>
    <w:rsid w:val="00424EEF"/>
    <w:rsid w:val="004303C2"/>
    <w:rsid w:val="00435183"/>
    <w:rsid w:val="00445432"/>
    <w:rsid w:val="00454325"/>
    <w:rsid w:val="0046448B"/>
    <w:rsid w:val="00467955"/>
    <w:rsid w:val="00497018"/>
    <w:rsid w:val="004B44F3"/>
    <w:rsid w:val="004B4C5A"/>
    <w:rsid w:val="004B78E9"/>
    <w:rsid w:val="004C24A6"/>
    <w:rsid w:val="004C28A7"/>
    <w:rsid w:val="004E4DC8"/>
    <w:rsid w:val="004F11C1"/>
    <w:rsid w:val="004F3FFA"/>
    <w:rsid w:val="004F5461"/>
    <w:rsid w:val="00504F55"/>
    <w:rsid w:val="005153BE"/>
    <w:rsid w:val="005231C5"/>
    <w:rsid w:val="0052516E"/>
    <w:rsid w:val="005328A9"/>
    <w:rsid w:val="00533776"/>
    <w:rsid w:val="00566648"/>
    <w:rsid w:val="0057648A"/>
    <w:rsid w:val="00585164"/>
    <w:rsid w:val="00597941"/>
    <w:rsid w:val="005A343B"/>
    <w:rsid w:val="0062749D"/>
    <w:rsid w:val="00631A9A"/>
    <w:rsid w:val="0064666F"/>
    <w:rsid w:val="00660943"/>
    <w:rsid w:val="00694638"/>
    <w:rsid w:val="006A156D"/>
    <w:rsid w:val="006A1CD9"/>
    <w:rsid w:val="006A212A"/>
    <w:rsid w:val="006A4FA8"/>
    <w:rsid w:val="006B3C8A"/>
    <w:rsid w:val="006C3F04"/>
    <w:rsid w:val="006C4A56"/>
    <w:rsid w:val="006C784D"/>
    <w:rsid w:val="006F5FCD"/>
    <w:rsid w:val="007052DA"/>
    <w:rsid w:val="00705614"/>
    <w:rsid w:val="00712A4A"/>
    <w:rsid w:val="0072229A"/>
    <w:rsid w:val="007454A1"/>
    <w:rsid w:val="007774D4"/>
    <w:rsid w:val="007A4F81"/>
    <w:rsid w:val="007A7A1D"/>
    <w:rsid w:val="007B0ABF"/>
    <w:rsid w:val="007C1CD8"/>
    <w:rsid w:val="007C3E4C"/>
    <w:rsid w:val="007D0EDD"/>
    <w:rsid w:val="007E1907"/>
    <w:rsid w:val="0080194E"/>
    <w:rsid w:val="00803564"/>
    <w:rsid w:val="00804C06"/>
    <w:rsid w:val="0081564B"/>
    <w:rsid w:val="008304DB"/>
    <w:rsid w:val="00830A03"/>
    <w:rsid w:val="00831EC0"/>
    <w:rsid w:val="00855F6B"/>
    <w:rsid w:val="00856637"/>
    <w:rsid w:val="00860087"/>
    <w:rsid w:val="00870E6F"/>
    <w:rsid w:val="00873A9A"/>
    <w:rsid w:val="00884547"/>
    <w:rsid w:val="0089114C"/>
    <w:rsid w:val="008916E6"/>
    <w:rsid w:val="008B3AE0"/>
    <w:rsid w:val="008C030E"/>
    <w:rsid w:val="008C1399"/>
    <w:rsid w:val="008C684E"/>
    <w:rsid w:val="008E2ED0"/>
    <w:rsid w:val="008E64E1"/>
    <w:rsid w:val="008F52F9"/>
    <w:rsid w:val="008F7C64"/>
    <w:rsid w:val="00903844"/>
    <w:rsid w:val="0090391B"/>
    <w:rsid w:val="00905E0B"/>
    <w:rsid w:val="00905E53"/>
    <w:rsid w:val="00913EB0"/>
    <w:rsid w:val="009177D8"/>
    <w:rsid w:val="00924421"/>
    <w:rsid w:val="00924959"/>
    <w:rsid w:val="009253D7"/>
    <w:rsid w:val="0093246F"/>
    <w:rsid w:val="00932DC1"/>
    <w:rsid w:val="00942F79"/>
    <w:rsid w:val="009928E8"/>
    <w:rsid w:val="00992C34"/>
    <w:rsid w:val="009A008C"/>
    <w:rsid w:val="009A283B"/>
    <w:rsid w:val="009A4A55"/>
    <w:rsid w:val="009A6A35"/>
    <w:rsid w:val="009A6ED6"/>
    <w:rsid w:val="009C23FD"/>
    <w:rsid w:val="009C8DB3"/>
    <w:rsid w:val="009D0AC3"/>
    <w:rsid w:val="009D787E"/>
    <w:rsid w:val="009E04B8"/>
    <w:rsid w:val="009E065B"/>
    <w:rsid w:val="009E4810"/>
    <w:rsid w:val="009F1535"/>
    <w:rsid w:val="00A23B32"/>
    <w:rsid w:val="00A3134F"/>
    <w:rsid w:val="00A462D7"/>
    <w:rsid w:val="00A51144"/>
    <w:rsid w:val="00A51FDB"/>
    <w:rsid w:val="00A62745"/>
    <w:rsid w:val="00A67FE8"/>
    <w:rsid w:val="00A7010A"/>
    <w:rsid w:val="00A8260A"/>
    <w:rsid w:val="00A8431D"/>
    <w:rsid w:val="00A94CDB"/>
    <w:rsid w:val="00AA3533"/>
    <w:rsid w:val="00AA6C26"/>
    <w:rsid w:val="00AC740A"/>
    <w:rsid w:val="00AD0327"/>
    <w:rsid w:val="00AD0ABC"/>
    <w:rsid w:val="00AF434F"/>
    <w:rsid w:val="00AF6F4D"/>
    <w:rsid w:val="00AF734A"/>
    <w:rsid w:val="00B02429"/>
    <w:rsid w:val="00B0370D"/>
    <w:rsid w:val="00B03815"/>
    <w:rsid w:val="00B03FBC"/>
    <w:rsid w:val="00B13393"/>
    <w:rsid w:val="00B15186"/>
    <w:rsid w:val="00B241CF"/>
    <w:rsid w:val="00B4428D"/>
    <w:rsid w:val="00B47400"/>
    <w:rsid w:val="00B53255"/>
    <w:rsid w:val="00B56688"/>
    <w:rsid w:val="00B63629"/>
    <w:rsid w:val="00B65E43"/>
    <w:rsid w:val="00B73A3B"/>
    <w:rsid w:val="00B90837"/>
    <w:rsid w:val="00B93CDD"/>
    <w:rsid w:val="00B950A0"/>
    <w:rsid w:val="00B950EC"/>
    <w:rsid w:val="00BA5AB9"/>
    <w:rsid w:val="00BA6048"/>
    <w:rsid w:val="00BC11C1"/>
    <w:rsid w:val="00BD6A44"/>
    <w:rsid w:val="00BE3588"/>
    <w:rsid w:val="00BF0FC6"/>
    <w:rsid w:val="00BF302A"/>
    <w:rsid w:val="00BF3FA2"/>
    <w:rsid w:val="00BF4779"/>
    <w:rsid w:val="00C03637"/>
    <w:rsid w:val="00C037EA"/>
    <w:rsid w:val="00C04BBF"/>
    <w:rsid w:val="00C06D95"/>
    <w:rsid w:val="00C129A0"/>
    <w:rsid w:val="00C20971"/>
    <w:rsid w:val="00C246C1"/>
    <w:rsid w:val="00C32D50"/>
    <w:rsid w:val="00C467F5"/>
    <w:rsid w:val="00C53235"/>
    <w:rsid w:val="00C53B8C"/>
    <w:rsid w:val="00C6397E"/>
    <w:rsid w:val="00C72BD9"/>
    <w:rsid w:val="00C7791C"/>
    <w:rsid w:val="00CB78CB"/>
    <w:rsid w:val="00CD0DCD"/>
    <w:rsid w:val="00D036D0"/>
    <w:rsid w:val="00D10DA8"/>
    <w:rsid w:val="00D16BCD"/>
    <w:rsid w:val="00D43C93"/>
    <w:rsid w:val="00D4547E"/>
    <w:rsid w:val="00D525C5"/>
    <w:rsid w:val="00D52A79"/>
    <w:rsid w:val="00D53A2A"/>
    <w:rsid w:val="00D53AFF"/>
    <w:rsid w:val="00D65FCC"/>
    <w:rsid w:val="00D67028"/>
    <w:rsid w:val="00D70A29"/>
    <w:rsid w:val="00D83257"/>
    <w:rsid w:val="00DA0922"/>
    <w:rsid w:val="00DB37EF"/>
    <w:rsid w:val="00DC08D9"/>
    <w:rsid w:val="00DC25D5"/>
    <w:rsid w:val="00DC4F9F"/>
    <w:rsid w:val="00DD0FC6"/>
    <w:rsid w:val="00DE2E97"/>
    <w:rsid w:val="00E11BCD"/>
    <w:rsid w:val="00E26662"/>
    <w:rsid w:val="00E268B7"/>
    <w:rsid w:val="00E27ED0"/>
    <w:rsid w:val="00E46C6A"/>
    <w:rsid w:val="00E54327"/>
    <w:rsid w:val="00E543B1"/>
    <w:rsid w:val="00E704C5"/>
    <w:rsid w:val="00E70FFA"/>
    <w:rsid w:val="00E71F54"/>
    <w:rsid w:val="00E73F48"/>
    <w:rsid w:val="00E81659"/>
    <w:rsid w:val="00E8212F"/>
    <w:rsid w:val="00EB4EE2"/>
    <w:rsid w:val="00ED1A49"/>
    <w:rsid w:val="00EE20F8"/>
    <w:rsid w:val="00EF5BA2"/>
    <w:rsid w:val="00F07C7B"/>
    <w:rsid w:val="00F16F11"/>
    <w:rsid w:val="00F25B11"/>
    <w:rsid w:val="00F302C6"/>
    <w:rsid w:val="00F30DB2"/>
    <w:rsid w:val="00F339AF"/>
    <w:rsid w:val="00F44B18"/>
    <w:rsid w:val="00F51B77"/>
    <w:rsid w:val="00F53D43"/>
    <w:rsid w:val="00FB1891"/>
    <w:rsid w:val="00FB384D"/>
    <w:rsid w:val="00FC2571"/>
    <w:rsid w:val="00FC2CE5"/>
    <w:rsid w:val="00FC3596"/>
    <w:rsid w:val="00FC578F"/>
    <w:rsid w:val="00FC790F"/>
    <w:rsid w:val="00FD00D8"/>
    <w:rsid w:val="00FD1CC7"/>
    <w:rsid w:val="00FE7DDF"/>
    <w:rsid w:val="00FF0C0A"/>
    <w:rsid w:val="04494B95"/>
    <w:rsid w:val="05DF63C6"/>
    <w:rsid w:val="06202EA0"/>
    <w:rsid w:val="06A3EC4D"/>
    <w:rsid w:val="06A7AB6C"/>
    <w:rsid w:val="080AA1E6"/>
    <w:rsid w:val="0AB9D789"/>
    <w:rsid w:val="0AC7FA57"/>
    <w:rsid w:val="0B692ED1"/>
    <w:rsid w:val="0CAFB5B0"/>
    <w:rsid w:val="0CFE647B"/>
    <w:rsid w:val="0DCF77F5"/>
    <w:rsid w:val="0FAE7D96"/>
    <w:rsid w:val="13ECF341"/>
    <w:rsid w:val="16C90EC5"/>
    <w:rsid w:val="17939C4B"/>
    <w:rsid w:val="17CC0507"/>
    <w:rsid w:val="1833AB0D"/>
    <w:rsid w:val="186032F9"/>
    <w:rsid w:val="1BCE926E"/>
    <w:rsid w:val="202D52CB"/>
    <w:rsid w:val="203E2C98"/>
    <w:rsid w:val="21D09825"/>
    <w:rsid w:val="23BE754C"/>
    <w:rsid w:val="2425E758"/>
    <w:rsid w:val="258B05C2"/>
    <w:rsid w:val="26CDD879"/>
    <w:rsid w:val="271654F2"/>
    <w:rsid w:val="27BC77F5"/>
    <w:rsid w:val="2BA8BFDA"/>
    <w:rsid w:val="2C18E9EE"/>
    <w:rsid w:val="2D6E6B32"/>
    <w:rsid w:val="2DDE9B0F"/>
    <w:rsid w:val="2E682FB3"/>
    <w:rsid w:val="3200F092"/>
    <w:rsid w:val="32E87215"/>
    <w:rsid w:val="333805AC"/>
    <w:rsid w:val="365D3ABB"/>
    <w:rsid w:val="383350FB"/>
    <w:rsid w:val="38440D70"/>
    <w:rsid w:val="38A35E2C"/>
    <w:rsid w:val="3A3EF4C8"/>
    <w:rsid w:val="3B66E052"/>
    <w:rsid w:val="3C51845D"/>
    <w:rsid w:val="3C875A62"/>
    <w:rsid w:val="3D6A3D1A"/>
    <w:rsid w:val="3E31E1A6"/>
    <w:rsid w:val="4032DC34"/>
    <w:rsid w:val="40710FDC"/>
    <w:rsid w:val="40E719AB"/>
    <w:rsid w:val="41E0AC99"/>
    <w:rsid w:val="42287D2A"/>
    <w:rsid w:val="43152AC6"/>
    <w:rsid w:val="43CA6314"/>
    <w:rsid w:val="46BD5D42"/>
    <w:rsid w:val="4A4B8FF0"/>
    <w:rsid w:val="4A771E39"/>
    <w:rsid w:val="4B8D01E9"/>
    <w:rsid w:val="4E82E8A9"/>
    <w:rsid w:val="4EF039AE"/>
    <w:rsid w:val="517BA7DE"/>
    <w:rsid w:val="522687E7"/>
    <w:rsid w:val="554BCAEB"/>
    <w:rsid w:val="58D5E04E"/>
    <w:rsid w:val="5A2EDAC5"/>
    <w:rsid w:val="5B3A56FF"/>
    <w:rsid w:val="5BC5A094"/>
    <w:rsid w:val="5C312A1B"/>
    <w:rsid w:val="5CA8E94E"/>
    <w:rsid w:val="5CBB3D01"/>
    <w:rsid w:val="5D216086"/>
    <w:rsid w:val="62783D10"/>
    <w:rsid w:val="64D04508"/>
    <w:rsid w:val="65F14DC4"/>
    <w:rsid w:val="6729BDB2"/>
    <w:rsid w:val="694027E9"/>
    <w:rsid w:val="6A79B949"/>
    <w:rsid w:val="6D815DA4"/>
    <w:rsid w:val="6DA101C1"/>
    <w:rsid w:val="6F37C9E8"/>
    <w:rsid w:val="6F929382"/>
    <w:rsid w:val="72E47BDF"/>
    <w:rsid w:val="73A09703"/>
    <w:rsid w:val="74B601BD"/>
    <w:rsid w:val="7B83E4F0"/>
    <w:rsid w:val="7BB778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B3325"/>
  <w15:chartTrackingRefBased/>
  <w15:docId w15:val="{EB77403C-B59F-436A-A651-3042D64E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1DC7"/>
  </w:style>
  <w:style w:type="paragraph" w:styleId="Heading1">
    <w:name w:val="heading 1"/>
    <w:basedOn w:val="Normal"/>
    <w:next w:val="Normal"/>
    <w:link w:val="Heading1Char"/>
    <w:uiPriority w:val="9"/>
    <w:qFormat/>
    <w:rsid w:val="00C72B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0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045D5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261DC7"/>
    <w:pPr>
      <w:spacing w:before="100" w:beforeAutospacing="1" w:after="100" w:afterAutospacing="1" w:line="240" w:lineRule="auto"/>
    </w:pPr>
    <w:rPr>
      <w:rFonts w:ascii="Arial" w:eastAsia="Times New Roman" w:hAnsi="Arial" w:cs="Arial"/>
      <w:color w:val="000000" w:themeColor="text1"/>
      <w:sz w:val="20"/>
      <w:szCs w:val="16"/>
    </w:rPr>
  </w:style>
  <w:style w:type="character" w:customStyle="1" w:styleId="TextChar">
    <w:name w:val="Text Char"/>
    <w:basedOn w:val="DefaultParagraphFont"/>
    <w:link w:val="Text"/>
    <w:rsid w:val="00261DC7"/>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rsid w:val="00261DC7"/>
    <w:pPr>
      <w:spacing w:after="120" w:afterAutospacing="0"/>
    </w:pPr>
    <w:rPr>
      <w:b/>
    </w:rPr>
  </w:style>
  <w:style w:type="paragraph" w:customStyle="1" w:styleId="Policyheading1">
    <w:name w:val="Policy heading 1"/>
    <w:basedOn w:val="NoSpacing"/>
    <w:link w:val="Policyheading1Char"/>
    <w:qFormat/>
    <w:rsid w:val="00261DC7"/>
    <w:rPr>
      <w:rFonts w:ascii="Arial" w:hAnsi="Arial" w:cs="Arial"/>
      <w:b/>
      <w:color w:val="990000"/>
      <w:sz w:val="24"/>
      <w:szCs w:val="24"/>
    </w:rPr>
  </w:style>
  <w:style w:type="character" w:customStyle="1" w:styleId="Policyheading2Char">
    <w:name w:val="Policy heading 2 Char"/>
    <w:basedOn w:val="TextChar"/>
    <w:link w:val="Policyheading2"/>
    <w:rsid w:val="00261DC7"/>
    <w:rPr>
      <w:rFonts w:ascii="Arial" w:eastAsia="Times New Roman" w:hAnsi="Arial" w:cs="Arial"/>
      <w:b/>
      <w:color w:val="000000" w:themeColor="text1"/>
      <w:sz w:val="20"/>
      <w:szCs w:val="16"/>
    </w:rPr>
  </w:style>
  <w:style w:type="character" w:customStyle="1" w:styleId="Policyheading1Char">
    <w:name w:val="Policy heading 1 Char"/>
    <w:basedOn w:val="DefaultParagraphFont"/>
    <w:link w:val="Policyheading1"/>
    <w:rsid w:val="00261DC7"/>
    <w:rPr>
      <w:rFonts w:ascii="Arial" w:hAnsi="Arial" w:cs="Arial"/>
      <w:b/>
      <w:color w:val="990000"/>
      <w:sz w:val="24"/>
      <w:szCs w:val="24"/>
    </w:rPr>
  </w:style>
  <w:style w:type="paragraph" w:styleId="NoSpacing">
    <w:name w:val="No Spacing"/>
    <w:uiPriority w:val="1"/>
    <w:qFormat/>
    <w:rsid w:val="00261DC7"/>
    <w:pPr>
      <w:spacing w:after="0" w:line="240" w:lineRule="auto"/>
    </w:pPr>
  </w:style>
  <w:style w:type="character" w:customStyle="1" w:styleId="Heading2Char">
    <w:name w:val="Heading 2 Char"/>
    <w:basedOn w:val="DefaultParagraphFont"/>
    <w:link w:val="Heading2"/>
    <w:uiPriority w:val="9"/>
    <w:rsid w:val="000D0B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684E"/>
    <w:pPr>
      <w:ind w:left="720"/>
      <w:contextualSpacing/>
    </w:pPr>
  </w:style>
  <w:style w:type="character" w:styleId="Hyperlink">
    <w:name w:val="Hyperlink"/>
    <w:basedOn w:val="DefaultParagraphFont"/>
    <w:uiPriority w:val="99"/>
    <w:unhideWhenUsed/>
    <w:rsid w:val="009A4A55"/>
    <w:rPr>
      <w:color w:val="0563C1" w:themeColor="hyperlink"/>
      <w:u w:val="singl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character" w:styleId="UnresolvedMention">
    <w:name w:val="Unresolved Mention"/>
    <w:basedOn w:val="DefaultParagraphFont"/>
    <w:uiPriority w:val="99"/>
    <w:semiHidden/>
    <w:unhideWhenUsed/>
    <w:rsid w:val="00F25B11"/>
    <w:rPr>
      <w:color w:val="605E5C"/>
      <w:shd w:val="clear" w:color="auto" w:fill="E1DFDD"/>
    </w:rPr>
  </w:style>
  <w:style w:type="character" w:styleId="FollowedHyperlink">
    <w:name w:val="FollowedHyperlink"/>
    <w:basedOn w:val="DefaultParagraphFont"/>
    <w:uiPriority w:val="99"/>
    <w:semiHidden/>
    <w:unhideWhenUsed/>
    <w:rsid w:val="00B02429"/>
    <w:rPr>
      <w:color w:val="954F72" w:themeColor="followedHyperlink"/>
      <w:u w:val="single"/>
    </w:rPr>
  </w:style>
  <w:style w:type="character" w:styleId="CommentReference">
    <w:name w:val="annotation reference"/>
    <w:basedOn w:val="DefaultParagraphFont"/>
    <w:uiPriority w:val="99"/>
    <w:semiHidden/>
    <w:unhideWhenUsed/>
    <w:rsid w:val="00884547"/>
    <w:rPr>
      <w:sz w:val="16"/>
      <w:szCs w:val="16"/>
    </w:rPr>
  </w:style>
  <w:style w:type="paragraph" w:styleId="CommentText">
    <w:name w:val="annotation text"/>
    <w:basedOn w:val="Normal"/>
    <w:link w:val="CommentTextChar"/>
    <w:uiPriority w:val="99"/>
    <w:semiHidden/>
    <w:unhideWhenUsed/>
    <w:rsid w:val="00884547"/>
    <w:pPr>
      <w:spacing w:line="240" w:lineRule="auto"/>
    </w:pPr>
    <w:rPr>
      <w:sz w:val="20"/>
      <w:szCs w:val="20"/>
    </w:rPr>
  </w:style>
  <w:style w:type="character" w:customStyle="1" w:styleId="CommentTextChar">
    <w:name w:val="Comment Text Char"/>
    <w:basedOn w:val="DefaultParagraphFont"/>
    <w:link w:val="CommentText"/>
    <w:uiPriority w:val="99"/>
    <w:semiHidden/>
    <w:rsid w:val="00884547"/>
    <w:rPr>
      <w:sz w:val="20"/>
      <w:szCs w:val="20"/>
    </w:rPr>
  </w:style>
  <w:style w:type="paragraph" w:styleId="CommentSubject">
    <w:name w:val="annotation subject"/>
    <w:basedOn w:val="CommentText"/>
    <w:next w:val="CommentText"/>
    <w:link w:val="CommentSubjectChar"/>
    <w:uiPriority w:val="99"/>
    <w:semiHidden/>
    <w:unhideWhenUsed/>
    <w:rsid w:val="00884547"/>
    <w:rPr>
      <w:b/>
      <w:bCs/>
    </w:rPr>
  </w:style>
  <w:style w:type="character" w:customStyle="1" w:styleId="CommentSubjectChar">
    <w:name w:val="Comment Subject Char"/>
    <w:basedOn w:val="CommentTextChar"/>
    <w:link w:val="CommentSubject"/>
    <w:uiPriority w:val="99"/>
    <w:semiHidden/>
    <w:rsid w:val="00884547"/>
    <w:rPr>
      <w:b/>
      <w:bCs/>
      <w:sz w:val="20"/>
      <w:szCs w:val="20"/>
    </w:rPr>
  </w:style>
  <w:style w:type="paragraph" w:styleId="BalloonText">
    <w:name w:val="Balloon Text"/>
    <w:basedOn w:val="Normal"/>
    <w:link w:val="BalloonTextChar"/>
    <w:uiPriority w:val="99"/>
    <w:semiHidden/>
    <w:unhideWhenUsed/>
    <w:rsid w:val="0088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47"/>
    <w:rPr>
      <w:rFonts w:ascii="Segoe UI" w:hAnsi="Segoe UI" w:cs="Segoe UI"/>
      <w:sz w:val="18"/>
      <w:szCs w:val="18"/>
    </w:rPr>
  </w:style>
  <w:style w:type="table" w:styleId="TableGrid">
    <w:name w:val="Table Grid"/>
    <w:basedOn w:val="TableNormal"/>
    <w:uiPriority w:val="39"/>
    <w:rsid w:val="00B1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045D5E"/>
    <w:rPr>
      <w:rFonts w:asciiTheme="majorHAnsi" w:eastAsiaTheme="majorEastAsia" w:hAnsiTheme="majorHAnsi" w:cstheme="majorBidi"/>
      <w:i/>
      <w:iCs/>
      <w:color w:val="1F3763" w:themeColor="accent1" w:themeShade="7F"/>
    </w:rPr>
  </w:style>
  <w:style w:type="paragraph" w:styleId="Revision">
    <w:name w:val="Revision"/>
    <w:hidden/>
    <w:uiPriority w:val="99"/>
    <w:semiHidden/>
    <w:rsid w:val="00BA5AB9"/>
    <w:pPr>
      <w:spacing w:after="0" w:line="240" w:lineRule="auto"/>
    </w:pPr>
  </w:style>
  <w:style w:type="paragraph" w:styleId="Title">
    <w:name w:val="Title"/>
    <w:basedOn w:val="Normal"/>
    <w:next w:val="Normal"/>
    <w:link w:val="TitleChar"/>
    <w:uiPriority w:val="10"/>
    <w:qFormat/>
    <w:rsid w:val="00C72B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BD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2BD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612898">
      <w:bodyDiv w:val="1"/>
      <w:marLeft w:val="0"/>
      <w:marRight w:val="0"/>
      <w:marTop w:val="0"/>
      <w:marBottom w:val="0"/>
      <w:divBdr>
        <w:top w:val="none" w:sz="0" w:space="0" w:color="auto"/>
        <w:left w:val="none" w:sz="0" w:space="0" w:color="auto"/>
        <w:bottom w:val="none" w:sz="0" w:space="0" w:color="auto"/>
        <w:right w:val="none" w:sz="0" w:space="0" w:color="auto"/>
      </w:divBdr>
      <w:divsChild>
        <w:div w:id="198784718">
          <w:marLeft w:val="0"/>
          <w:marRight w:val="0"/>
          <w:marTop w:val="0"/>
          <w:marBottom w:val="0"/>
          <w:divBdr>
            <w:top w:val="none" w:sz="0" w:space="0" w:color="auto"/>
            <w:left w:val="none" w:sz="0" w:space="0" w:color="auto"/>
            <w:bottom w:val="none" w:sz="0" w:space="0" w:color="auto"/>
            <w:right w:val="none" w:sz="0" w:space="0" w:color="auto"/>
          </w:divBdr>
          <w:divsChild>
            <w:div w:id="1735346388">
              <w:marLeft w:val="0"/>
              <w:marRight w:val="0"/>
              <w:marTop w:val="0"/>
              <w:marBottom w:val="0"/>
              <w:divBdr>
                <w:top w:val="none" w:sz="0" w:space="0" w:color="auto"/>
                <w:left w:val="none" w:sz="0" w:space="0" w:color="auto"/>
                <w:bottom w:val="none" w:sz="0" w:space="0" w:color="auto"/>
                <w:right w:val="none" w:sz="0" w:space="0" w:color="auto"/>
              </w:divBdr>
              <w:divsChild>
                <w:div w:id="965350100">
                  <w:marLeft w:val="0"/>
                  <w:marRight w:val="0"/>
                  <w:marTop w:val="0"/>
                  <w:marBottom w:val="0"/>
                  <w:divBdr>
                    <w:top w:val="none" w:sz="0" w:space="0" w:color="auto"/>
                    <w:left w:val="none" w:sz="0" w:space="0" w:color="auto"/>
                    <w:bottom w:val="none" w:sz="0" w:space="0" w:color="auto"/>
                    <w:right w:val="none" w:sz="0" w:space="0" w:color="auto"/>
                  </w:divBdr>
                  <w:divsChild>
                    <w:div w:id="1152453694">
                      <w:marLeft w:val="0"/>
                      <w:marRight w:val="0"/>
                      <w:marTop w:val="0"/>
                      <w:marBottom w:val="0"/>
                      <w:divBdr>
                        <w:top w:val="none" w:sz="0" w:space="0" w:color="auto"/>
                        <w:left w:val="none" w:sz="0" w:space="0" w:color="auto"/>
                        <w:bottom w:val="none" w:sz="0" w:space="0" w:color="auto"/>
                        <w:right w:val="none" w:sz="0" w:space="0" w:color="auto"/>
                      </w:divBdr>
                      <w:divsChild>
                        <w:div w:id="1716811893">
                          <w:marLeft w:val="0"/>
                          <w:marRight w:val="0"/>
                          <w:marTop w:val="0"/>
                          <w:marBottom w:val="0"/>
                          <w:divBdr>
                            <w:top w:val="none" w:sz="0" w:space="0" w:color="auto"/>
                            <w:left w:val="none" w:sz="0" w:space="0" w:color="auto"/>
                            <w:bottom w:val="none" w:sz="0" w:space="0" w:color="auto"/>
                            <w:right w:val="none" w:sz="0" w:space="0" w:color="auto"/>
                          </w:divBdr>
                          <w:divsChild>
                            <w:div w:id="2053383550">
                              <w:marLeft w:val="0"/>
                              <w:marRight w:val="0"/>
                              <w:marTop w:val="0"/>
                              <w:marBottom w:val="0"/>
                              <w:divBdr>
                                <w:top w:val="none" w:sz="0" w:space="0" w:color="auto"/>
                                <w:left w:val="none" w:sz="0" w:space="0" w:color="auto"/>
                                <w:bottom w:val="none" w:sz="0" w:space="0" w:color="auto"/>
                                <w:right w:val="none" w:sz="0" w:space="0" w:color="auto"/>
                              </w:divBdr>
                              <w:divsChild>
                                <w:div w:id="75371087">
                                  <w:marLeft w:val="0"/>
                                  <w:marRight w:val="0"/>
                                  <w:marTop w:val="0"/>
                                  <w:marBottom w:val="0"/>
                                  <w:divBdr>
                                    <w:top w:val="none" w:sz="0" w:space="0" w:color="auto"/>
                                    <w:left w:val="none" w:sz="0" w:space="0" w:color="auto"/>
                                    <w:bottom w:val="none" w:sz="0" w:space="0" w:color="auto"/>
                                    <w:right w:val="none" w:sz="0" w:space="0" w:color="auto"/>
                                  </w:divBdr>
                                  <w:divsChild>
                                    <w:div w:id="1910843231">
                                      <w:marLeft w:val="0"/>
                                      <w:marRight w:val="0"/>
                                      <w:marTop w:val="0"/>
                                      <w:marBottom w:val="0"/>
                                      <w:divBdr>
                                        <w:top w:val="none" w:sz="0" w:space="0" w:color="auto"/>
                                        <w:left w:val="none" w:sz="0" w:space="0" w:color="auto"/>
                                        <w:bottom w:val="none" w:sz="0" w:space="0" w:color="auto"/>
                                        <w:right w:val="none" w:sz="0" w:space="0" w:color="auto"/>
                                      </w:divBdr>
                                      <w:divsChild>
                                        <w:div w:id="902830685">
                                          <w:marLeft w:val="0"/>
                                          <w:marRight w:val="0"/>
                                          <w:marTop w:val="0"/>
                                          <w:marBottom w:val="0"/>
                                          <w:divBdr>
                                            <w:top w:val="none" w:sz="0" w:space="0" w:color="auto"/>
                                            <w:left w:val="none" w:sz="0" w:space="0" w:color="auto"/>
                                            <w:bottom w:val="none" w:sz="0" w:space="0" w:color="auto"/>
                                            <w:right w:val="none" w:sz="0" w:space="0" w:color="auto"/>
                                          </w:divBdr>
                                          <w:divsChild>
                                            <w:div w:id="1552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965045">
          <w:marLeft w:val="0"/>
          <w:marRight w:val="0"/>
          <w:marTop w:val="0"/>
          <w:marBottom w:val="0"/>
          <w:divBdr>
            <w:top w:val="none" w:sz="0" w:space="0" w:color="auto"/>
            <w:left w:val="none" w:sz="0" w:space="0" w:color="auto"/>
            <w:bottom w:val="none" w:sz="0" w:space="0" w:color="auto"/>
            <w:right w:val="none" w:sz="0" w:space="0" w:color="auto"/>
          </w:divBdr>
          <w:divsChild>
            <w:div w:id="872965505">
              <w:marLeft w:val="0"/>
              <w:marRight w:val="0"/>
              <w:marTop w:val="0"/>
              <w:marBottom w:val="0"/>
              <w:divBdr>
                <w:top w:val="none" w:sz="0" w:space="0" w:color="auto"/>
                <w:left w:val="none" w:sz="0" w:space="0" w:color="auto"/>
                <w:bottom w:val="none" w:sz="0" w:space="0" w:color="auto"/>
                <w:right w:val="none" w:sz="0" w:space="0" w:color="auto"/>
              </w:divBdr>
              <w:divsChild>
                <w:div w:id="1531187583">
                  <w:marLeft w:val="0"/>
                  <w:marRight w:val="0"/>
                  <w:marTop w:val="0"/>
                  <w:marBottom w:val="0"/>
                  <w:divBdr>
                    <w:top w:val="none" w:sz="0" w:space="0" w:color="auto"/>
                    <w:left w:val="none" w:sz="0" w:space="0" w:color="auto"/>
                    <w:bottom w:val="none" w:sz="0" w:space="0" w:color="auto"/>
                    <w:right w:val="none" w:sz="0" w:space="0" w:color="auto"/>
                  </w:divBdr>
                  <w:divsChild>
                    <w:div w:id="25298970">
                      <w:marLeft w:val="0"/>
                      <w:marRight w:val="0"/>
                      <w:marTop w:val="0"/>
                      <w:marBottom w:val="0"/>
                      <w:divBdr>
                        <w:top w:val="none" w:sz="0" w:space="0" w:color="auto"/>
                        <w:left w:val="none" w:sz="0" w:space="0" w:color="auto"/>
                        <w:bottom w:val="none" w:sz="0" w:space="0" w:color="auto"/>
                        <w:right w:val="none" w:sz="0" w:space="0" w:color="auto"/>
                      </w:divBdr>
                      <w:divsChild>
                        <w:div w:id="1170027140">
                          <w:marLeft w:val="0"/>
                          <w:marRight w:val="0"/>
                          <w:marTop w:val="0"/>
                          <w:marBottom w:val="0"/>
                          <w:divBdr>
                            <w:top w:val="none" w:sz="0" w:space="0" w:color="auto"/>
                            <w:left w:val="none" w:sz="0" w:space="0" w:color="auto"/>
                            <w:bottom w:val="none" w:sz="0" w:space="0" w:color="auto"/>
                            <w:right w:val="none" w:sz="0" w:space="0" w:color="auto"/>
                          </w:divBdr>
                          <w:divsChild>
                            <w:div w:id="26880395">
                              <w:marLeft w:val="0"/>
                              <w:marRight w:val="0"/>
                              <w:marTop w:val="0"/>
                              <w:marBottom w:val="0"/>
                              <w:divBdr>
                                <w:top w:val="none" w:sz="0" w:space="0" w:color="auto"/>
                                <w:left w:val="none" w:sz="0" w:space="0" w:color="auto"/>
                                <w:bottom w:val="none" w:sz="0" w:space="0" w:color="auto"/>
                                <w:right w:val="none" w:sz="0" w:space="0" w:color="auto"/>
                              </w:divBdr>
                              <w:divsChild>
                                <w:div w:id="496074698">
                                  <w:marLeft w:val="0"/>
                                  <w:marRight w:val="0"/>
                                  <w:marTop w:val="0"/>
                                  <w:marBottom w:val="0"/>
                                  <w:divBdr>
                                    <w:top w:val="none" w:sz="0" w:space="0" w:color="auto"/>
                                    <w:left w:val="none" w:sz="0" w:space="0" w:color="auto"/>
                                    <w:bottom w:val="none" w:sz="0" w:space="0" w:color="auto"/>
                                    <w:right w:val="none" w:sz="0" w:space="0" w:color="auto"/>
                                  </w:divBdr>
                                </w:div>
                                <w:div w:id="4779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u.edu/policies/policy-documents/effort-reporting.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u.edu/policies/policy-documents/tuition-and-fee-waiver-policy.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u.edu/policies/policy-documents/policies-pertaining-to-graduate-assistantships.shtml"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u.edu/policies/policy-documents/cost-sharing.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3119F2481D2F448D0337DB604F8818" ma:contentTypeVersion="13" ma:contentTypeDescription="Create a new document." ma:contentTypeScope="" ma:versionID="01ff2dfbfa8f09b75fa23de9b7c8ada5">
  <xsd:schema xmlns:xsd="http://www.w3.org/2001/XMLSchema" xmlns:xs="http://www.w3.org/2001/XMLSchema" xmlns:p="http://schemas.microsoft.com/office/2006/metadata/properties" xmlns:ns3="cb6b8a7b-75e9-4394-9d3e-fd3b0691d500" xmlns:ns4="c492c707-c3bd-47ef-ba04-0c9251c4089e" targetNamespace="http://schemas.microsoft.com/office/2006/metadata/properties" ma:root="true" ma:fieldsID="2dd66dd33d9fa509ada40e046f89f4e2" ns3:_="" ns4:_="">
    <xsd:import namespace="cb6b8a7b-75e9-4394-9d3e-fd3b0691d500"/>
    <xsd:import namespace="c492c707-c3bd-47ef-ba04-0c9251c408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b8a7b-75e9-4394-9d3e-fd3b0691d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2c707-c3bd-47ef-ba04-0c9251c408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11C26-0B58-4734-B3CF-02AE3EF0B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30B1FA-9AF0-4936-B8FF-81A9F18E1424}">
  <ds:schemaRefs>
    <ds:schemaRef ds:uri="http://schemas.microsoft.com/sharepoint/v3/contenttype/forms"/>
  </ds:schemaRefs>
</ds:datastoreItem>
</file>

<file path=customXml/itemProps3.xml><?xml version="1.0" encoding="utf-8"?>
<ds:datastoreItem xmlns:ds="http://schemas.openxmlformats.org/officeDocument/2006/customXml" ds:itemID="{CF15048C-90B5-489E-9853-4B8CF46BDD3B}">
  <ds:schemaRefs>
    <ds:schemaRef ds:uri="http://schemas.openxmlformats.org/officeDocument/2006/bibliography"/>
  </ds:schemaRefs>
</ds:datastoreItem>
</file>

<file path=customXml/itemProps4.xml><?xml version="1.0" encoding="utf-8"?>
<ds:datastoreItem xmlns:ds="http://schemas.openxmlformats.org/officeDocument/2006/customXml" ds:itemID="{006FE10C-0DA8-4C1C-8C80-EA0503CB8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b8a7b-75e9-4394-9d3e-fd3b0691d500"/>
    <ds:schemaRef ds:uri="c492c707-c3bd-47ef-ba04-0c9251c4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Jessica Webb</cp:lastModifiedBy>
  <cp:revision>3</cp:revision>
  <dcterms:created xsi:type="dcterms:W3CDTF">2025-03-10T14:22:00Z</dcterms:created>
  <dcterms:modified xsi:type="dcterms:W3CDTF">2025-03-11T14:31:00Z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0x010100D03119F2481D2F448D0337DB604F8818</vt:lpwstr>
  </property>
</Properties>
</file>