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9E5D2" w14:textId="0C5BD27F" w:rsidR="00A31D71" w:rsidRPr="0053645D" w:rsidRDefault="006541D2" w:rsidP="00960A6E">
      <w:pPr>
        <w:pStyle w:val="Title"/>
        <w:jc w:val="center"/>
      </w:pPr>
      <w:r w:rsidRPr="0053645D">
        <w:t xml:space="preserve">Guidance: </w:t>
      </w:r>
      <w:bookmarkStart w:id="0" w:name="_GoBack"/>
      <w:r w:rsidR="00AF732A" w:rsidRPr="0053645D">
        <w:t>Telecommunications Costs</w:t>
      </w:r>
      <w:bookmarkEnd w:id="0"/>
    </w:p>
    <w:p w14:paraId="39A6F7D4" w14:textId="6E6B7B97" w:rsidR="00AF732A" w:rsidRDefault="00AF732A" w:rsidP="00960A6E">
      <w:pPr>
        <w:pStyle w:val="Heading1"/>
      </w:pPr>
      <w:r>
        <w:t>Purpose</w:t>
      </w:r>
    </w:p>
    <w:p w14:paraId="6FC8A619" w14:textId="448E5CC8" w:rsidR="00AF732A" w:rsidRDefault="00AF732A" w:rsidP="00A31D71">
      <w:pPr>
        <w:rPr>
          <w:bCs/>
        </w:rPr>
      </w:pPr>
      <w:r w:rsidRPr="00AF732A">
        <w:rPr>
          <w:bCs/>
        </w:rPr>
        <w:t>To provide guidance for when it is appropriate to</w:t>
      </w:r>
      <w:r>
        <w:rPr>
          <w:bCs/>
        </w:rPr>
        <w:t xml:space="preserve"> charge </w:t>
      </w:r>
      <w:r w:rsidRPr="00AF732A">
        <w:rPr>
          <w:bCs/>
        </w:rPr>
        <w:t xml:space="preserve">telecommunications costs </w:t>
      </w:r>
      <w:r>
        <w:rPr>
          <w:bCs/>
        </w:rPr>
        <w:t>directly</w:t>
      </w:r>
      <w:r w:rsidRPr="00AF732A">
        <w:rPr>
          <w:bCs/>
        </w:rPr>
        <w:t xml:space="preserve"> </w:t>
      </w:r>
      <w:r>
        <w:rPr>
          <w:bCs/>
        </w:rPr>
        <w:t>to a</w:t>
      </w:r>
      <w:r w:rsidRPr="00AF732A">
        <w:rPr>
          <w:bCs/>
        </w:rPr>
        <w:t xml:space="preserve"> sponsored project</w:t>
      </w:r>
      <w:r>
        <w:rPr>
          <w:bCs/>
        </w:rPr>
        <w:t xml:space="preserve"> and the documentation necessary to support such charges</w:t>
      </w:r>
      <w:r w:rsidRPr="00AF732A">
        <w:rPr>
          <w:bCs/>
        </w:rPr>
        <w:t>.</w:t>
      </w:r>
    </w:p>
    <w:p w14:paraId="1D6EB51D" w14:textId="757D9CC2" w:rsidR="00AF732A" w:rsidRPr="00AF732A" w:rsidRDefault="00AF732A" w:rsidP="00960A6E">
      <w:pPr>
        <w:pStyle w:val="Heading1"/>
      </w:pPr>
      <w:r w:rsidRPr="00AF732A">
        <w:t>Reason for this Guidance</w:t>
      </w:r>
    </w:p>
    <w:p w14:paraId="5095F559" w14:textId="23F7A83A" w:rsidR="00AF732A" w:rsidRDefault="00AF732A" w:rsidP="00A31D71">
      <w:pPr>
        <w:rPr>
          <w:bCs/>
        </w:rPr>
      </w:pPr>
      <w:r>
        <w:rPr>
          <w:bCs/>
        </w:rPr>
        <w:t xml:space="preserve">Federal regulations state that telecommunications costs should normally be treated as indirect costs. However, there may be times when it is appropriate to charge these costs directly to a project budget. This guidance ensures telecommunications costs are treated consistently and properly on each award.   </w:t>
      </w:r>
    </w:p>
    <w:p w14:paraId="40D676A7" w14:textId="0AF5A99F" w:rsidR="00A31D71" w:rsidRPr="008802E3" w:rsidRDefault="00A31D71" w:rsidP="00A31D71">
      <w:pPr>
        <w:rPr>
          <w:b/>
          <w:bCs/>
        </w:rPr>
      </w:pPr>
      <w:r w:rsidRPr="00AF732A">
        <w:rPr>
          <w:bCs/>
        </w:rPr>
        <w:t> </w:t>
      </w:r>
      <w:r w:rsidR="0053645D">
        <w:rPr>
          <w:bCs/>
        </w:rPr>
        <w:t>T</w:t>
      </w:r>
      <w:r w:rsidR="00AF732A" w:rsidRPr="00AF732A">
        <w:rPr>
          <w:bCs/>
        </w:rPr>
        <w:t xml:space="preserve">elecommunication </w:t>
      </w:r>
      <w:r w:rsidRPr="00AF732A">
        <w:t>costs can be</w:t>
      </w:r>
      <w:r w:rsidRPr="00A31D71">
        <w:t xml:space="preserve"> broken down into three broad categories:</w:t>
      </w:r>
    </w:p>
    <w:p w14:paraId="7E92B164" w14:textId="77777777" w:rsidR="00A31D71" w:rsidRPr="00A31D71" w:rsidRDefault="00A31D71" w:rsidP="00A31D71">
      <w:r w:rsidRPr="00A31D71">
        <w:t>1. Basic telephone services' such as telephone installation, instrument rental, and line cost.</w:t>
      </w:r>
    </w:p>
    <w:p w14:paraId="5CAC4987" w14:textId="77777777" w:rsidR="00A31D71" w:rsidRPr="00A31D71" w:rsidRDefault="00A31D71" w:rsidP="00A31D71">
      <w:r w:rsidRPr="00A31D71">
        <w:t>2. Long-distance toll charges.</w:t>
      </w:r>
    </w:p>
    <w:p w14:paraId="588DB827" w14:textId="77777777" w:rsidR="00A31D71" w:rsidRPr="00A31D71" w:rsidRDefault="00A31D71" w:rsidP="00A31D71">
      <w:r w:rsidRPr="00A31D71">
        <w:t>3. Cellular phone services.</w:t>
      </w:r>
    </w:p>
    <w:p w14:paraId="4FDE9086" w14:textId="2F7A8143" w:rsidR="00A31D71" w:rsidRPr="00A31D71" w:rsidRDefault="009B18FC" w:rsidP="00960A6E">
      <w:pPr>
        <w:pStyle w:val="Heading1"/>
      </w:pPr>
      <w:r>
        <w:t>Grants/Contracts – On Campu</w:t>
      </w:r>
      <w:r w:rsidR="00960A6E">
        <w:t>s</w:t>
      </w:r>
    </w:p>
    <w:p w14:paraId="285B5526" w14:textId="3374FB81" w:rsidR="00A31D71" w:rsidRPr="00A31D71" w:rsidRDefault="00A31D71" w:rsidP="00A31D71">
      <w:r w:rsidRPr="00A31D71">
        <w:t>Since basic telephone service costs are difficult to identify exclusively with one grant or contract, they are</w:t>
      </w:r>
      <w:r w:rsidR="00F8560D">
        <w:t xml:space="preserve"> generally</w:t>
      </w:r>
      <w:r w:rsidRPr="00A31D71">
        <w:t xml:space="preserve"> charged to </w:t>
      </w:r>
      <w:r w:rsidR="008464E9">
        <w:t>local</w:t>
      </w:r>
      <w:r w:rsidRPr="00A31D71">
        <w:t xml:space="preserve"> budgets and a portion of the cost is recovered through </w:t>
      </w:r>
      <w:r w:rsidR="0053645D">
        <w:t xml:space="preserve">indirect </w:t>
      </w:r>
      <w:r w:rsidRPr="00A31D71">
        <w:t>cost</w:t>
      </w:r>
      <w:r w:rsidR="0053645D">
        <w:t>s</w:t>
      </w:r>
      <w:r w:rsidRPr="00A31D71">
        <w:t>.</w:t>
      </w:r>
    </w:p>
    <w:p w14:paraId="52DE5EEE" w14:textId="77254800" w:rsidR="00A31D71" w:rsidRPr="00A31D71" w:rsidRDefault="00A31D71" w:rsidP="00A31D71">
      <w:r w:rsidRPr="00A31D71">
        <w:t xml:space="preserve">Occasionally, a grant or contract will require expensive telephone equipment and/or telephone lines for data transmission, phone surveys, etc. and </w:t>
      </w:r>
      <w:r w:rsidR="008802E3">
        <w:t xml:space="preserve">may need to </w:t>
      </w:r>
      <w:r w:rsidRPr="00A31D71">
        <w:t xml:space="preserve">budget these costs </w:t>
      </w:r>
      <w:r w:rsidR="008802E3">
        <w:t xml:space="preserve">as a direct charge for </w:t>
      </w:r>
      <w:r w:rsidRPr="00A31D71">
        <w:t>an on-campus project</w:t>
      </w:r>
      <w:r w:rsidR="008802E3">
        <w:t xml:space="preserve">. </w:t>
      </w:r>
      <w:r w:rsidRPr="00A31D71">
        <w:t xml:space="preserve">For </w:t>
      </w:r>
      <w:r w:rsidR="008464E9">
        <w:t>this to occur,</w:t>
      </w:r>
      <w:r w:rsidRPr="00A31D71">
        <w:t xml:space="preserve"> the service must be used exclusively for the award</w:t>
      </w:r>
      <w:r w:rsidR="008464E9">
        <w:t>.</w:t>
      </w:r>
    </w:p>
    <w:p w14:paraId="37ECBF48" w14:textId="29E15756" w:rsidR="00A31D71" w:rsidRPr="00A31D71" w:rsidRDefault="00A31D71" w:rsidP="00A31D71">
      <w:r w:rsidRPr="00A31D71">
        <w:t>For federal awards, unlike circumstances </w:t>
      </w:r>
      <w:r w:rsidR="00236F56">
        <w:t>(</w:t>
      </w:r>
      <w:hyperlink r:id="rId5" w:tgtFrame="_blank" w:history="1">
        <w:r w:rsidR="00236F56" w:rsidRPr="00236F56">
          <w:rPr>
            <w:rStyle w:val="Hyperlink"/>
          </w:rPr>
          <w:t>2 CFR 200.413</w:t>
        </w:r>
      </w:hyperlink>
      <w:r w:rsidR="00236F56">
        <w:t xml:space="preserve">) </w:t>
      </w:r>
      <w:r w:rsidRPr="00A31D71">
        <w:t>must exist for telecommunication services to be charged directly to a grant or contract budget. By definition, unlike circumstances exist when costs are:</w:t>
      </w:r>
    </w:p>
    <w:p w14:paraId="1072F970" w14:textId="11C20A2A" w:rsidR="00A31D71" w:rsidRPr="00A31D71" w:rsidRDefault="00A31D71" w:rsidP="00A31D71">
      <w:pPr>
        <w:numPr>
          <w:ilvl w:val="0"/>
          <w:numId w:val="1"/>
        </w:numPr>
      </w:pPr>
      <w:r w:rsidRPr="00A31D71">
        <w:t>Above the normal level for services or items specifically required for a project</w:t>
      </w:r>
      <w:r w:rsidR="00EC1B23">
        <w:t>;</w:t>
      </w:r>
    </w:p>
    <w:p w14:paraId="25D7EDB8" w14:textId="77777777" w:rsidR="00A31D71" w:rsidRPr="00A31D71" w:rsidRDefault="00A31D71" w:rsidP="00A31D71">
      <w:pPr>
        <w:numPr>
          <w:ilvl w:val="0"/>
          <w:numId w:val="1"/>
        </w:numPr>
      </w:pPr>
      <w:r w:rsidRPr="00A31D71">
        <w:t>Necessary to meet the objectives of the award, and</w:t>
      </w:r>
    </w:p>
    <w:p w14:paraId="67C76FE0" w14:textId="730DA8F2" w:rsidR="00A31D71" w:rsidRPr="00A31D71" w:rsidRDefault="00A31D71" w:rsidP="00A31D71">
      <w:pPr>
        <w:numPr>
          <w:ilvl w:val="0"/>
          <w:numId w:val="1"/>
        </w:numPr>
      </w:pPr>
      <w:r w:rsidRPr="00A31D71">
        <w:t xml:space="preserve">For technical expertise or items not otherwise needed by </w:t>
      </w:r>
      <w:r w:rsidR="00EC1B23">
        <w:t xml:space="preserve">or found in </w:t>
      </w:r>
      <w:r w:rsidRPr="00A31D71">
        <w:t>the department.</w:t>
      </w:r>
    </w:p>
    <w:p w14:paraId="691BE1E1" w14:textId="77777777" w:rsidR="00A31D71" w:rsidRPr="00A31D71" w:rsidRDefault="00A31D71" w:rsidP="00A31D71">
      <w:r w:rsidRPr="00A31D71">
        <w:t>If unlike circumstances exist, </w:t>
      </w:r>
    </w:p>
    <w:p w14:paraId="6DB55817" w14:textId="5892414E" w:rsidR="00A31D71" w:rsidRPr="00A31D71" w:rsidRDefault="00A31D71" w:rsidP="00A31D71">
      <w:pPr>
        <w:numPr>
          <w:ilvl w:val="0"/>
          <w:numId w:val="2"/>
        </w:numPr>
      </w:pPr>
      <w:r w:rsidRPr="00A31D71">
        <w:t xml:space="preserve">The cost </w:t>
      </w:r>
      <w:r w:rsidR="008802E3">
        <w:t xml:space="preserve">may </w:t>
      </w:r>
      <w:r w:rsidRPr="00A31D71">
        <w:t>be included in the proposal</w:t>
      </w:r>
      <w:r w:rsidR="00F8560D">
        <w:t>;</w:t>
      </w:r>
      <w:r w:rsidRPr="00A31D71">
        <w:t xml:space="preserve"> and</w:t>
      </w:r>
    </w:p>
    <w:p w14:paraId="61016503" w14:textId="5E40050A" w:rsidR="00A31D71" w:rsidRPr="00A31D71" w:rsidRDefault="00A31D71" w:rsidP="00A31D71">
      <w:pPr>
        <w:numPr>
          <w:ilvl w:val="0"/>
          <w:numId w:val="2"/>
        </w:numPr>
      </w:pPr>
      <w:r w:rsidRPr="00A31D71">
        <w:t xml:space="preserve">The unlike circumstances </w:t>
      </w:r>
      <w:r w:rsidR="008802E3">
        <w:t xml:space="preserve">must be </w:t>
      </w:r>
      <w:r w:rsidRPr="00A31D71">
        <w:t>justified to the sponsor.</w:t>
      </w:r>
    </w:p>
    <w:p w14:paraId="0D8D0B45" w14:textId="77777777" w:rsidR="00A31D71" w:rsidRPr="00A31D71" w:rsidRDefault="00A31D71" w:rsidP="00A31D71">
      <w:r w:rsidRPr="00A31D71">
        <w:t>If the need to charge telecommunications expenses directly to the grant is not identified until after the award is funded:</w:t>
      </w:r>
    </w:p>
    <w:p w14:paraId="76F60E1C" w14:textId="63312FEF" w:rsidR="00A31D71" w:rsidRPr="00A31D71" w:rsidRDefault="00A31D71" w:rsidP="00A31D71">
      <w:pPr>
        <w:numPr>
          <w:ilvl w:val="0"/>
          <w:numId w:val="3"/>
        </w:numPr>
      </w:pPr>
      <w:r w:rsidRPr="00A31D71">
        <w:t>NIH</w:t>
      </w:r>
      <w:r w:rsidR="00236F56">
        <w:t xml:space="preserve"> and NSF</w:t>
      </w:r>
      <w:r w:rsidRPr="00A31D71">
        <w:t xml:space="preserve"> awards: Documentation of the unlike circumstances must be maintained in the department's grant file.</w:t>
      </w:r>
      <w:r w:rsidR="0053645D">
        <w:t xml:space="preserve"> SPA may request this documentation.</w:t>
      </w:r>
    </w:p>
    <w:p w14:paraId="58884347" w14:textId="0423083E" w:rsidR="00A31D71" w:rsidRPr="00A31D71" w:rsidRDefault="00A31D71" w:rsidP="00A31D71">
      <w:pPr>
        <w:numPr>
          <w:ilvl w:val="0"/>
          <w:numId w:val="3"/>
        </w:numPr>
      </w:pPr>
      <w:r w:rsidRPr="00A31D71">
        <w:lastRenderedPageBreak/>
        <w:t xml:space="preserve">For most other federal </w:t>
      </w:r>
      <w:r w:rsidR="008802E3">
        <w:t>s</w:t>
      </w:r>
      <w:r w:rsidRPr="00A31D71">
        <w:t>ponsors</w:t>
      </w:r>
      <w:r w:rsidR="008802E3">
        <w:t xml:space="preserve">, follow the Institutional Prior Approval Process </w:t>
      </w:r>
      <w:hyperlink r:id="rId6" w:history="1">
        <w:r w:rsidR="008802E3" w:rsidRPr="008802E3">
          <w:rPr>
            <w:rStyle w:val="Hyperlink"/>
          </w:rPr>
          <w:t>(IPAS)</w:t>
        </w:r>
      </w:hyperlink>
      <w:r w:rsidR="008802E3">
        <w:t xml:space="preserve"> which will require the following</w:t>
      </w:r>
      <w:r w:rsidRPr="00A31D71">
        <w:t>:</w:t>
      </w:r>
    </w:p>
    <w:p w14:paraId="7E89E56A" w14:textId="0E498C42" w:rsidR="00A31D71" w:rsidRPr="00A31D71" w:rsidRDefault="00A31D71" w:rsidP="00A31D71">
      <w:pPr>
        <w:numPr>
          <w:ilvl w:val="1"/>
          <w:numId w:val="3"/>
        </w:numPr>
      </w:pPr>
      <w:r w:rsidRPr="00A31D71">
        <w:t>Prepar</w:t>
      </w:r>
      <w:r w:rsidR="008802E3">
        <w:t>ing</w:t>
      </w:r>
      <w:r w:rsidRPr="00A31D71">
        <w:t xml:space="preserve"> a written request to charge these types of expenses, along with a justification of unlike circumstances.</w:t>
      </w:r>
    </w:p>
    <w:p w14:paraId="0B32FF8F" w14:textId="07258C76" w:rsidR="00A31D71" w:rsidRPr="00A31D71" w:rsidRDefault="00A31D71" w:rsidP="00A31D71">
      <w:pPr>
        <w:numPr>
          <w:ilvl w:val="1"/>
          <w:numId w:val="3"/>
        </w:numPr>
      </w:pPr>
      <w:r w:rsidRPr="00A31D71">
        <w:t>Obtain</w:t>
      </w:r>
      <w:r w:rsidR="008802E3">
        <w:t>ing</w:t>
      </w:r>
      <w:r w:rsidRPr="00A31D71">
        <w:t xml:space="preserve"> concurrence signature from </w:t>
      </w:r>
      <w:r w:rsidR="008464E9">
        <w:t>Sponsored Programs Administration.</w:t>
      </w:r>
    </w:p>
    <w:p w14:paraId="3E82C1BA" w14:textId="515E9D67" w:rsidR="00A31D71" w:rsidRPr="00A31D71" w:rsidRDefault="00A31D71" w:rsidP="00A31D71">
      <w:pPr>
        <w:numPr>
          <w:ilvl w:val="1"/>
          <w:numId w:val="3"/>
        </w:numPr>
      </w:pPr>
      <w:r w:rsidRPr="00A31D71">
        <w:t>Submit</w:t>
      </w:r>
      <w:r w:rsidR="008802E3">
        <w:t>ting</w:t>
      </w:r>
      <w:r w:rsidRPr="00A31D71">
        <w:t xml:space="preserve"> the above supporting information to the sponsor</w:t>
      </w:r>
      <w:r w:rsidR="008464E9">
        <w:t xml:space="preserve"> for prior approval</w:t>
      </w:r>
      <w:r w:rsidRPr="00A31D71">
        <w:t>.</w:t>
      </w:r>
    </w:p>
    <w:p w14:paraId="5348AB64" w14:textId="7D7D807B" w:rsidR="00CF3F5C" w:rsidRDefault="00A31D71" w:rsidP="00A31D71">
      <w:r w:rsidRPr="00A31D71">
        <w:t>When charged to an award these costs will be subject to Facilities &amp; Administrative (F&amp;A) cost at the rate specified in the award.</w:t>
      </w:r>
    </w:p>
    <w:p w14:paraId="52B6FC86" w14:textId="15B9440D" w:rsidR="0053645D" w:rsidRPr="0053645D" w:rsidRDefault="0053645D" w:rsidP="00960A6E">
      <w:pPr>
        <w:pStyle w:val="Heading1"/>
      </w:pPr>
      <w:r w:rsidRPr="0053645D">
        <w:t>Justifying Unlike Circumstances</w:t>
      </w:r>
    </w:p>
    <w:p w14:paraId="655FB8A6" w14:textId="77777777" w:rsidR="0053645D" w:rsidRPr="0053645D" w:rsidRDefault="0053645D" w:rsidP="00A31D71">
      <w:r w:rsidRPr="0053645D">
        <w:t>Explain how:</w:t>
      </w:r>
    </w:p>
    <w:p w14:paraId="6FD02598" w14:textId="2EDD14B4" w:rsidR="0053645D" w:rsidRDefault="0053645D" w:rsidP="00A31D71">
      <w:r>
        <w:t>The service or use of the item is above the level normally provided by the department;</w:t>
      </w:r>
    </w:p>
    <w:p w14:paraId="72701A86" w14:textId="70AEE8F7" w:rsidR="0053645D" w:rsidRDefault="0053645D" w:rsidP="00A31D71">
      <w:r>
        <w:t>If the technical expertise or item is not otherwise needed or found in the department; and</w:t>
      </w:r>
    </w:p>
    <w:p w14:paraId="45C08308" w14:textId="016B2408" w:rsidR="0053645D" w:rsidRDefault="0053645D" w:rsidP="00A31D71">
      <w:r>
        <w:t>Why the service or item is necessary to meet the objectives of the project.</w:t>
      </w:r>
    </w:p>
    <w:p w14:paraId="21F15B65" w14:textId="6AB891DC" w:rsidR="00A31D71" w:rsidRPr="0053645D" w:rsidRDefault="00A31D71" w:rsidP="00960A6E">
      <w:pPr>
        <w:pStyle w:val="Heading1"/>
      </w:pPr>
      <w:r w:rsidRPr="00A31D71">
        <w:t>Grants/Contracts - Off Campus</w:t>
      </w:r>
    </w:p>
    <w:p w14:paraId="434BF26E" w14:textId="77777777" w:rsidR="00A31D71" w:rsidRPr="00A31D71" w:rsidRDefault="00A31D71" w:rsidP="00A31D71">
      <w:r w:rsidRPr="00A31D71">
        <w:t>Telephone installation, instrument, and line costs purchased from an outside vendor are normally budgeted and charged to grant and contract projects conducted exclusively off-campus.</w:t>
      </w:r>
    </w:p>
    <w:p w14:paraId="53A03D67" w14:textId="658F4553" w:rsidR="00A31D71" w:rsidRPr="00A31D71" w:rsidRDefault="00A31D71" w:rsidP="00A31D71">
      <w:r w:rsidRPr="00A31D71">
        <w:t xml:space="preserve">If more than one award or activity is being conducted at the location the cost must be allocated to all benefitting activities on some reasonable basis.  The allocation methodology must be documented and followed consistently. It must </w:t>
      </w:r>
      <w:r w:rsidR="00CF3F5C" w:rsidRPr="00A31D71">
        <w:t>consider</w:t>
      </w:r>
      <w:r w:rsidRPr="00A31D71">
        <w:t xml:space="preserve"> usage for non-sponsored activity as well as sponsored activity.</w:t>
      </w:r>
      <w:r w:rsidR="00236F56">
        <w:t xml:space="preserve">  </w:t>
      </w:r>
    </w:p>
    <w:p w14:paraId="14A02FA2" w14:textId="1CA96E40" w:rsidR="00A31D71" w:rsidRPr="00A31D71" w:rsidRDefault="00A31D71" w:rsidP="00960A6E">
      <w:pPr>
        <w:pStyle w:val="Heading1"/>
      </w:pPr>
      <w:r w:rsidRPr="00A31D71">
        <w:t xml:space="preserve">Phone and Mobile Device Costs </w:t>
      </w:r>
    </w:p>
    <w:p w14:paraId="60500921" w14:textId="6FE0E1BF" w:rsidR="00A31D71" w:rsidRPr="00A31D71" w:rsidRDefault="00A31D71" w:rsidP="00A31D71">
      <w:r w:rsidRPr="00A31D71">
        <w:t xml:space="preserve">Costs associated with </w:t>
      </w:r>
      <w:r w:rsidR="00CF3F5C">
        <w:t>mobile devices</w:t>
      </w:r>
      <w:r w:rsidRPr="00A31D71">
        <w:t xml:space="preserve"> are in a class of expense that has a higher risk for abuse than most other costs and are highly susceptible to </w:t>
      </w:r>
      <w:r w:rsidR="009B18FC">
        <w:t xml:space="preserve">the university’s </w:t>
      </w:r>
      <w:r w:rsidRPr="00A31D71">
        <w:t>audits</w:t>
      </w:r>
      <w:r w:rsidR="009B18FC">
        <w:t xml:space="preserve"> of sponsored awards</w:t>
      </w:r>
      <w:r w:rsidRPr="00A31D71">
        <w:t xml:space="preserve">.  </w:t>
      </w:r>
      <w:r w:rsidR="00DB4C89">
        <w:t>As such,</w:t>
      </w:r>
      <w:r w:rsidRPr="00A31D71">
        <w:t xml:space="preserve"> </w:t>
      </w:r>
      <w:r w:rsidR="00DB4C89" w:rsidRPr="00A31D71">
        <w:t>add</w:t>
      </w:r>
      <w:r w:rsidR="00DB4C89">
        <w:t>itional</w:t>
      </w:r>
      <w:r w:rsidR="00DB4C89" w:rsidRPr="00A31D71">
        <w:t xml:space="preserve"> </w:t>
      </w:r>
      <w:r w:rsidRPr="00A31D71">
        <w:t>administrative effort</w:t>
      </w:r>
      <w:r w:rsidR="00DB4C89">
        <w:t xml:space="preserve"> is required </w:t>
      </w:r>
      <w:r w:rsidRPr="00A31D71">
        <w:t xml:space="preserve">to monitor and allocate the costs appropriately. </w:t>
      </w:r>
      <w:r w:rsidR="00DB4C89">
        <w:t xml:space="preserve">Failure to do this </w:t>
      </w:r>
      <w:r w:rsidR="00EC1B23">
        <w:t>may</w:t>
      </w:r>
      <w:r w:rsidR="00DB4C89">
        <w:t xml:space="preserve"> result in </w:t>
      </w:r>
      <w:r w:rsidR="00EC1B23">
        <w:t>the need to</w:t>
      </w:r>
      <w:r w:rsidR="00DB4C89">
        <w:t xml:space="preserve"> transfer </w:t>
      </w:r>
      <w:r w:rsidR="00EC1B23">
        <w:t xml:space="preserve"> </w:t>
      </w:r>
      <w:r w:rsidR="00DB4C89">
        <w:t xml:space="preserve">these charges </w:t>
      </w:r>
      <w:r w:rsidR="00EC1B23">
        <w:t>off the</w:t>
      </w:r>
      <w:r w:rsidR="00DB4C89">
        <w:t xml:space="preserve"> grant </w:t>
      </w:r>
      <w:r w:rsidR="00EC1B23">
        <w:t xml:space="preserve">and to </w:t>
      </w:r>
      <w:r w:rsidR="00DB4C89">
        <w:t>a department account.</w:t>
      </w:r>
      <w:r w:rsidR="00EC1B23">
        <w:t xml:space="preserve"> The following </w:t>
      </w:r>
      <w:r w:rsidRPr="00A31D71">
        <w:t>cell phone &amp; mobile device guidelines</w:t>
      </w:r>
      <w:r w:rsidR="00EC1B23">
        <w:t xml:space="preserve"> and best practices </w:t>
      </w:r>
      <w:r w:rsidR="009B18FC">
        <w:t xml:space="preserve">are </w:t>
      </w:r>
      <w:r w:rsidR="00EC1B23">
        <w:t xml:space="preserve">provided to minimize these situations and avoid risk. </w:t>
      </w:r>
    </w:p>
    <w:p w14:paraId="04CADDF4" w14:textId="77777777" w:rsidR="00A31D71" w:rsidRPr="00A31D71" w:rsidRDefault="00A31D71" w:rsidP="00A31D71">
      <w:r w:rsidRPr="00A31D71">
        <w:t>Cell phone cost allowability on sponsored programs:</w:t>
      </w:r>
    </w:p>
    <w:p w14:paraId="75B192F5" w14:textId="4AA3D12D" w:rsidR="00A31D71" w:rsidRPr="00A31D71" w:rsidRDefault="00A31D71" w:rsidP="00A31D71">
      <w:r w:rsidRPr="00A31D71">
        <w:t xml:space="preserve">The cost of cell phones and other mobile devices </w:t>
      </w:r>
      <w:r w:rsidR="00645346">
        <w:t>is</w:t>
      </w:r>
      <w:r w:rsidRPr="00A31D71">
        <w:t xml:space="preserve"> normally treated as </w:t>
      </w:r>
      <w:r w:rsidR="009B18FC">
        <w:t>indirect</w:t>
      </w:r>
      <w:r w:rsidRPr="00A31D71">
        <w:t xml:space="preserve"> cost</w:t>
      </w:r>
      <w:r w:rsidR="009B18FC">
        <w:t>s</w:t>
      </w:r>
      <w:r w:rsidRPr="00A31D71">
        <w:t xml:space="preserve"> and not as a direct cost to the project.  This includes the cost of cell phone plans or the monthly allowance</w:t>
      </w:r>
      <w:r w:rsidR="00645346">
        <w:t>.</w:t>
      </w:r>
    </w:p>
    <w:p w14:paraId="385FBF7C" w14:textId="362305FE" w:rsidR="00A31D71" w:rsidRPr="00A31D71" w:rsidRDefault="00A31D71" w:rsidP="00A31D71">
      <w:r w:rsidRPr="00A31D71">
        <w:t xml:space="preserve">Cell phone costs are allowable on non-federal awards when permitted by the sponsor’s policies or are otherwise approved by the sponsor.  For federal awards, the costs may be allowable </w:t>
      </w:r>
      <w:r w:rsidR="009B18FC">
        <w:t>only when</w:t>
      </w:r>
      <w:r w:rsidR="00236F56">
        <w:t xml:space="preserve"> </w:t>
      </w:r>
      <w:r w:rsidRPr="00A31D71">
        <w:t xml:space="preserve">exceptional and unlike circumstance </w:t>
      </w:r>
      <w:r w:rsidR="00236F56">
        <w:t>(</w:t>
      </w:r>
      <w:hyperlink r:id="rId7" w:tgtFrame="_blank" w:history="1">
        <w:r w:rsidRPr="00A31D71">
          <w:rPr>
            <w:rStyle w:val="Hyperlink"/>
          </w:rPr>
          <w:t>2 CFR 200.413</w:t>
        </w:r>
      </w:hyperlink>
      <w:r w:rsidR="00236F56">
        <w:rPr>
          <w:rStyle w:val="Hyperlink"/>
        </w:rPr>
        <w:t xml:space="preserve">) </w:t>
      </w:r>
      <w:r w:rsidR="00236F56" w:rsidRPr="002263A1">
        <w:rPr>
          <w:rStyle w:val="Hyperlink"/>
          <w:color w:val="auto"/>
          <w:u w:val="none"/>
        </w:rPr>
        <w:t>exist.</w:t>
      </w:r>
    </w:p>
    <w:p w14:paraId="2DD134F9" w14:textId="492DF576" w:rsidR="00A31D71" w:rsidRPr="00A31D71" w:rsidRDefault="008D36CA" w:rsidP="00A31D71">
      <w:r>
        <w:t xml:space="preserve">The following conditions must also be met:  </w:t>
      </w:r>
    </w:p>
    <w:p w14:paraId="25BABC3A" w14:textId="5B3613AD" w:rsidR="00A31D71" w:rsidRPr="00A31D71" w:rsidRDefault="00A31D71" w:rsidP="00A31D71">
      <w:pPr>
        <w:numPr>
          <w:ilvl w:val="0"/>
          <w:numId w:val="4"/>
        </w:numPr>
      </w:pPr>
      <w:r w:rsidRPr="00A31D71">
        <w:lastRenderedPageBreak/>
        <w:t xml:space="preserve">The cost is </w:t>
      </w:r>
      <w:r w:rsidR="00CF3F5C">
        <w:t>A</w:t>
      </w:r>
      <w:r w:rsidRPr="00A31D71">
        <w:t>llowable under the terms and conditions of the</w:t>
      </w:r>
      <w:r w:rsidR="00CF3F5C">
        <w:t xml:space="preserve"> a</w:t>
      </w:r>
      <w:r w:rsidRPr="00A31D71">
        <w:t>ward</w:t>
      </w:r>
      <w:r w:rsidR="00CF3F5C">
        <w:t xml:space="preserve">. </w:t>
      </w:r>
      <w:r w:rsidRPr="00A31D71">
        <w:t xml:space="preserve"> </w:t>
      </w:r>
    </w:p>
    <w:p w14:paraId="07D3B2DF" w14:textId="69C56F98" w:rsidR="00A31D71" w:rsidRPr="00A31D71" w:rsidRDefault="00A31D71" w:rsidP="00A31D71">
      <w:pPr>
        <w:numPr>
          <w:ilvl w:val="0"/>
          <w:numId w:val="4"/>
        </w:numPr>
      </w:pPr>
      <w:r w:rsidRPr="00A31D71">
        <w:t xml:space="preserve">The cost is Reasonable.  </w:t>
      </w:r>
      <w:r w:rsidR="00CF3F5C">
        <w:t xml:space="preserve">I.e., </w:t>
      </w:r>
      <w:r w:rsidRPr="00A31D71">
        <w:t>Would a normal person deem the cost appropriate given the intended use?  Is the cost of the phone and the plan reasonable in reference to the intended use?</w:t>
      </w:r>
    </w:p>
    <w:p w14:paraId="5F81D885" w14:textId="68E912D7" w:rsidR="00A31D71" w:rsidRPr="00A31D71" w:rsidRDefault="00A31D71" w:rsidP="00A31D71">
      <w:pPr>
        <w:numPr>
          <w:ilvl w:val="0"/>
          <w:numId w:val="4"/>
        </w:numPr>
      </w:pPr>
      <w:r w:rsidRPr="00A31D71">
        <w:t xml:space="preserve">The cost is Allocable.  </w:t>
      </w:r>
      <w:r w:rsidR="00CF3F5C">
        <w:t xml:space="preserve">I.e., </w:t>
      </w:r>
      <w:r w:rsidRPr="00A31D71">
        <w:t>Will the use of the cell phone provide a direct benefit to meeting the project objectives?</w:t>
      </w:r>
    </w:p>
    <w:p w14:paraId="135C5969" w14:textId="77777777" w:rsidR="00A31D71" w:rsidRPr="00A31D71" w:rsidRDefault="00A31D71" w:rsidP="00A31D71">
      <w:pPr>
        <w:numPr>
          <w:ilvl w:val="0"/>
          <w:numId w:val="4"/>
        </w:numPr>
      </w:pPr>
      <w:r w:rsidRPr="00A31D71">
        <w:t>Consistent Treatment.  Can the benefit to the project be determined without undue administrative effort?</w:t>
      </w:r>
    </w:p>
    <w:p w14:paraId="28C2139D" w14:textId="668F5D2D" w:rsidR="005C1048" w:rsidRPr="009B18FC" w:rsidRDefault="00A31D71" w:rsidP="00A31D71">
      <w:pPr>
        <w:numPr>
          <w:ilvl w:val="0"/>
          <w:numId w:val="4"/>
        </w:numPr>
      </w:pPr>
      <w:r w:rsidRPr="00A31D71">
        <w:t>Where the cost is necessary for the efficient conduct of a sponsored project, is clearly identified in the proposal budget, justified in the budget narrative and funded by the sponsor, or otherwise approved in writing by the sponsor, the cost would generally be considered allowable.</w:t>
      </w:r>
    </w:p>
    <w:p w14:paraId="7529D96E" w14:textId="2DC6676D" w:rsidR="00A31D71" w:rsidRPr="00A31D71" w:rsidRDefault="00A31D71" w:rsidP="00960A6E">
      <w:pPr>
        <w:pStyle w:val="Heading1"/>
      </w:pPr>
      <w:r w:rsidRPr="00A31D71">
        <w:t xml:space="preserve">Best Practices for </w:t>
      </w:r>
      <w:r w:rsidR="009B18FC">
        <w:t>M</w:t>
      </w:r>
      <w:r w:rsidRPr="00A31D71">
        <w:t xml:space="preserve">anaging </w:t>
      </w:r>
      <w:r w:rsidR="009B18FC">
        <w:t>M</w:t>
      </w:r>
      <w:r w:rsidRPr="00A31D71">
        <w:t xml:space="preserve">obile </w:t>
      </w:r>
      <w:r w:rsidR="009B18FC">
        <w:t>D</w:t>
      </w:r>
      <w:r w:rsidRPr="00A31D71">
        <w:t xml:space="preserve">evice </w:t>
      </w:r>
      <w:r w:rsidR="009B18FC">
        <w:t>C</w:t>
      </w:r>
      <w:r w:rsidRPr="00A31D71">
        <w:t>osts</w:t>
      </w:r>
      <w:r w:rsidR="00DB4C89">
        <w:t xml:space="preserve"> </w:t>
      </w:r>
      <w:r w:rsidR="009B18FC">
        <w:t>on Sponsored Awards</w:t>
      </w:r>
    </w:p>
    <w:p w14:paraId="1F304AC8" w14:textId="1B335B72" w:rsidR="00A31D71" w:rsidRDefault="00A31D71" w:rsidP="00A31D71">
      <w:r w:rsidRPr="00A31D71">
        <w:t>Prior to approving an employee for mobile device charges:</w:t>
      </w:r>
    </w:p>
    <w:p w14:paraId="28F477DE" w14:textId="180D6689" w:rsidR="004D6AEA" w:rsidRDefault="00CB378B" w:rsidP="004D6AEA">
      <w:pPr>
        <w:numPr>
          <w:ilvl w:val="0"/>
          <w:numId w:val="5"/>
        </w:numPr>
      </w:pPr>
      <w:r>
        <w:t>Make sure devices and charges are consistent with</w:t>
      </w:r>
      <w:r w:rsidR="004D6AEA">
        <w:t xml:space="preserve"> NIU’s </w:t>
      </w:r>
      <w:hyperlink r:id="rId8" w:history="1">
        <w:r w:rsidR="004D6AEA" w:rsidRPr="004D6AEA">
          <w:rPr>
            <w:rStyle w:val="Hyperlink"/>
          </w:rPr>
          <w:t xml:space="preserve">Cellular Service Stipend Policy </w:t>
        </w:r>
      </w:hyperlink>
      <w:r>
        <w:t>and that the employee is aware of their responsibilities under the policy.</w:t>
      </w:r>
    </w:p>
    <w:p w14:paraId="2D552A19" w14:textId="7B2CFEC8" w:rsidR="00A31D71" w:rsidRPr="00A31D71" w:rsidRDefault="00A31D71" w:rsidP="004D6AEA">
      <w:pPr>
        <w:numPr>
          <w:ilvl w:val="0"/>
          <w:numId w:val="5"/>
        </w:numPr>
      </w:pPr>
      <w:r w:rsidRPr="00A31D71">
        <w:t xml:space="preserve">Advise the employee of their responsibility regarding use and </w:t>
      </w:r>
      <w:hyperlink r:id="rId9" w:history="1">
        <w:r w:rsidRPr="00686B8B">
          <w:rPr>
            <w:rStyle w:val="Hyperlink"/>
          </w:rPr>
          <w:t>safeguarding</w:t>
        </w:r>
      </w:hyperlink>
      <w:r w:rsidRPr="00A31D71">
        <w:t xml:space="preserve"> of the mobile device and any </w:t>
      </w:r>
      <w:r w:rsidRPr="00686B8B">
        <w:t>data</w:t>
      </w:r>
      <w:r w:rsidRPr="00A31D71">
        <w:t xml:space="preserve"> stored therein. (</w:t>
      </w:r>
      <w:r w:rsidR="008D36CA">
        <w:t xml:space="preserve">E.g., </w:t>
      </w:r>
      <w:r w:rsidRPr="00A31D71">
        <w:t>May be subject to public records requests.)</w:t>
      </w:r>
      <w:r w:rsidR="004D6AEA">
        <w:t xml:space="preserve">. </w:t>
      </w:r>
      <w:r w:rsidRPr="00A31D71">
        <w:t xml:space="preserve">For devices that may contain </w:t>
      </w:r>
      <w:hyperlink r:id="rId10" w:history="1">
        <w:r w:rsidRPr="00686B8B">
          <w:rPr>
            <w:rStyle w:val="Hyperlink"/>
          </w:rPr>
          <w:t>sensitive or controlled data</w:t>
        </w:r>
      </w:hyperlink>
      <w:r w:rsidRPr="00A31D71">
        <w:t xml:space="preserve">, this may </w:t>
      </w:r>
      <w:r w:rsidR="005C1048">
        <w:t>require</w:t>
      </w:r>
      <w:r w:rsidRPr="00A31D71">
        <w:t xml:space="preserve"> compliance with Export Control regulations. </w:t>
      </w:r>
      <w:r w:rsidR="00686B8B">
        <w:t xml:space="preserve"> </w:t>
      </w:r>
    </w:p>
    <w:p w14:paraId="3CAD035D" w14:textId="67F9257B" w:rsidR="004D36FF" w:rsidRDefault="004D6AEA" w:rsidP="002263A1">
      <w:pPr>
        <w:pStyle w:val="ListParagraph"/>
        <w:numPr>
          <w:ilvl w:val="0"/>
          <w:numId w:val="5"/>
        </w:numPr>
      </w:pPr>
      <w:r>
        <w:t xml:space="preserve">Have a plan to document how the charges directly benefit the project and the method for allocating the costs if benefitting more than one project. This may include obtaining </w:t>
      </w:r>
      <w:r w:rsidR="004D36FF">
        <w:t xml:space="preserve">copies of </w:t>
      </w:r>
      <w:r>
        <w:t xml:space="preserve">bills </w:t>
      </w:r>
      <w:r w:rsidR="004D36FF">
        <w:t>and reviewing allowance payments at a regular frequency (suggested to be no less than quarterly) to ensure the charges remain appropriate for the use</w:t>
      </w:r>
      <w:r w:rsidR="00CB378B">
        <w:t>.</w:t>
      </w:r>
      <w:r w:rsidR="004D36FF">
        <w:t xml:space="preserve"> </w:t>
      </w:r>
      <w:r w:rsidR="00CB378B">
        <w:t xml:space="preserve"> Supporting documentation may be request</w:t>
      </w:r>
      <w:r w:rsidR="004D36FF">
        <w:t>ed</w:t>
      </w:r>
      <w:r w:rsidR="00CB378B">
        <w:t xml:space="preserve"> by SPA at any time to in order to verify the accuracy</w:t>
      </w:r>
      <w:r w:rsidR="000B6655">
        <w:t xml:space="preserve"> and appropriateness</w:t>
      </w:r>
      <w:r w:rsidR="00CB378B">
        <w:t xml:space="preserve"> of charges.</w:t>
      </w:r>
      <w:r w:rsidR="008409D1" w:rsidRPr="008409D1">
        <w:t xml:space="preserve"> </w:t>
      </w:r>
    </w:p>
    <w:p w14:paraId="300436D2" w14:textId="7F745AA5" w:rsidR="00A31D71" w:rsidRPr="009B18FC" w:rsidRDefault="008409D1" w:rsidP="00960A6E">
      <w:pPr>
        <w:pStyle w:val="Heading1"/>
      </w:pPr>
      <w:r w:rsidRPr="009B18FC">
        <w:t xml:space="preserve">Additional </w:t>
      </w:r>
      <w:r w:rsidR="009B18FC" w:rsidRPr="009B18FC">
        <w:t>C</w:t>
      </w:r>
      <w:r w:rsidRPr="009B18FC">
        <w:t xml:space="preserve">onsiderations for </w:t>
      </w:r>
      <w:r w:rsidR="009B18FC" w:rsidRPr="009B18FC">
        <w:t>M</w:t>
      </w:r>
      <w:r w:rsidRPr="009B18FC">
        <w:t xml:space="preserve">obile </w:t>
      </w:r>
      <w:r w:rsidR="009B18FC" w:rsidRPr="009B18FC">
        <w:t>D</w:t>
      </w:r>
      <w:r w:rsidRPr="009B18FC">
        <w:t xml:space="preserve">evice </w:t>
      </w:r>
      <w:r w:rsidR="009B18FC" w:rsidRPr="009B18FC">
        <w:t>C</w:t>
      </w:r>
      <w:r w:rsidRPr="009B18FC">
        <w:t>harges</w:t>
      </w:r>
    </w:p>
    <w:p w14:paraId="2CB7D754" w14:textId="77EC8009" w:rsidR="00A31D71" w:rsidRPr="00A31D71" w:rsidRDefault="00A31D71" w:rsidP="00A31D71">
      <w:pPr>
        <w:numPr>
          <w:ilvl w:val="0"/>
          <w:numId w:val="6"/>
        </w:numPr>
      </w:pPr>
      <w:r w:rsidRPr="00A31D71">
        <w:t xml:space="preserve">Be sure the cell phone plan period (if a contract is required) aligns with the period of the project the phone is needed for, or that other </w:t>
      </w:r>
      <w:r w:rsidR="004D6AEA">
        <w:t xml:space="preserve">non-sponsored </w:t>
      </w:r>
      <w:r w:rsidRPr="00A31D71">
        <w:t>funds are available to absorb the cost when the project period ends.</w:t>
      </w:r>
    </w:p>
    <w:p w14:paraId="23CC7E78" w14:textId="5466E113" w:rsidR="00A31D71" w:rsidRDefault="00A31D71" w:rsidP="00A31D71">
      <w:pPr>
        <w:numPr>
          <w:ilvl w:val="0"/>
          <w:numId w:val="6"/>
        </w:numPr>
      </w:pPr>
      <w:r w:rsidRPr="00A31D71">
        <w:t>When disposable phones are used, the unused time should be minimal</w:t>
      </w:r>
      <w:r w:rsidR="00686B8B">
        <w:t xml:space="preserve"> to avoid removing the cost of the unused talk time </w:t>
      </w:r>
      <w:r w:rsidRPr="00A31D71">
        <w:t>from the project</w:t>
      </w:r>
      <w:r w:rsidR="004D6AEA">
        <w:t xml:space="preserve"> to a non-sponsored account</w:t>
      </w:r>
      <w:r w:rsidRPr="00A31D71">
        <w:t>.  Unused talk time may be used for follow-on projects or for other university business</w:t>
      </w:r>
      <w:r w:rsidR="00686B8B">
        <w:t>, but not personal use</w:t>
      </w:r>
      <w:r w:rsidRPr="00A31D71">
        <w:t>.</w:t>
      </w:r>
    </w:p>
    <w:p w14:paraId="09D56B06" w14:textId="5A126BD6" w:rsidR="004D36FF" w:rsidRDefault="004D36FF">
      <w:pPr>
        <w:numPr>
          <w:ilvl w:val="0"/>
          <w:numId w:val="6"/>
        </w:numPr>
      </w:pPr>
      <w:r w:rsidRPr="008409D1">
        <w:t xml:space="preserve">When personal use of the cell phone is more than de </w:t>
      </w:r>
      <w:proofErr w:type="spellStart"/>
      <w:r w:rsidRPr="008409D1">
        <w:t>minimus</w:t>
      </w:r>
      <w:proofErr w:type="spellEnd"/>
      <w:r w:rsidRPr="008409D1">
        <w:t>, it will be necessary to allocate some of the costs to non-sponsored funds or personal funds.</w:t>
      </w:r>
    </w:p>
    <w:p w14:paraId="509BEA7E" w14:textId="1957612F" w:rsidR="005C1048" w:rsidRDefault="005C1048" w:rsidP="00A31D71">
      <w:pPr>
        <w:numPr>
          <w:ilvl w:val="0"/>
          <w:numId w:val="6"/>
        </w:numPr>
      </w:pPr>
      <w:r>
        <w:lastRenderedPageBreak/>
        <w:t xml:space="preserve">Phones purchased through the university remain the property of the </w:t>
      </w:r>
      <w:r w:rsidR="009B18FC">
        <w:t>u</w:t>
      </w:r>
      <w:r>
        <w:t>niversity and the phones should be</w:t>
      </w:r>
      <w:r w:rsidRPr="005C1048">
        <w:t xml:space="preserve"> retained by the department</w:t>
      </w:r>
      <w:r>
        <w:t xml:space="preserve">. </w:t>
      </w:r>
      <w:r w:rsidRPr="005C1048">
        <w:t xml:space="preserve">When </w:t>
      </w:r>
      <w:r>
        <w:t>no</w:t>
      </w:r>
      <w:r w:rsidRPr="005C1048">
        <w:t xml:space="preserve"> longer needed</w:t>
      </w:r>
      <w:r>
        <w:t xml:space="preserve"> </w:t>
      </w:r>
      <w:r w:rsidRPr="005C1048">
        <w:t xml:space="preserve">for research or other university activities, </w:t>
      </w:r>
      <w:r w:rsidR="00CB378B">
        <w:t>phones should be</w:t>
      </w:r>
      <w:r w:rsidRPr="005C1048">
        <w:t xml:space="preserve"> disposed of in accordance with </w:t>
      </w:r>
      <w:r w:rsidR="009B18FC">
        <w:t>university</w:t>
      </w:r>
      <w:r w:rsidRPr="005C1048">
        <w:t xml:space="preserve"> policies.</w:t>
      </w:r>
      <w:r w:rsidR="00CB378B" w:rsidRPr="00CB378B">
        <w:t xml:space="preserve"> </w:t>
      </w:r>
      <w:r w:rsidR="00CB378B">
        <w:t xml:space="preserve"> Phones </w:t>
      </w:r>
      <w:r w:rsidR="000B6655">
        <w:t xml:space="preserve">for NIU employees </w:t>
      </w:r>
      <w:r w:rsidR="00CB378B">
        <w:t xml:space="preserve">must be purchased through the </w:t>
      </w:r>
      <w:r w:rsidR="000B6655">
        <w:t>university.</w:t>
      </w:r>
    </w:p>
    <w:p w14:paraId="26024FB1" w14:textId="00EF4547" w:rsidR="00CB378B" w:rsidRPr="00A31D71" w:rsidRDefault="008409D1" w:rsidP="00A31D71">
      <w:pPr>
        <w:numPr>
          <w:ilvl w:val="0"/>
          <w:numId w:val="6"/>
        </w:numPr>
      </w:pPr>
      <w:r>
        <w:t>Phone</w:t>
      </w:r>
      <w:r w:rsidR="000B6655">
        <w:t xml:space="preserve">s for non NIU employees should not be purchased through the university but through reimbursement. </w:t>
      </w:r>
      <w:r>
        <w:t xml:space="preserve"> Individuals will be reimbursed for the cost of the phone and disposition will follow sponsor approval and award terms and conditions. </w:t>
      </w:r>
      <w:r w:rsidR="000B6655">
        <w:t xml:space="preserve"> </w:t>
      </w:r>
    </w:p>
    <w:p w14:paraId="41515977" w14:textId="77777777" w:rsidR="00A31D71" w:rsidRPr="00A31D71" w:rsidRDefault="00A31D71" w:rsidP="00A31D71">
      <w:r w:rsidRPr="00A31D71">
        <w:t> </w:t>
      </w:r>
    </w:p>
    <w:p w14:paraId="40E34550" w14:textId="77777777" w:rsidR="00600727" w:rsidRDefault="00600727"/>
    <w:sectPr w:rsidR="00600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6815"/>
    <w:multiLevelType w:val="multilevel"/>
    <w:tmpl w:val="5A20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F3F6F"/>
    <w:multiLevelType w:val="multilevel"/>
    <w:tmpl w:val="6DB0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94C7C"/>
    <w:multiLevelType w:val="multilevel"/>
    <w:tmpl w:val="D302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20E36"/>
    <w:multiLevelType w:val="multilevel"/>
    <w:tmpl w:val="C212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263BF"/>
    <w:multiLevelType w:val="multilevel"/>
    <w:tmpl w:val="E752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23575"/>
    <w:multiLevelType w:val="multilevel"/>
    <w:tmpl w:val="0926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8C1DC6"/>
    <w:multiLevelType w:val="multilevel"/>
    <w:tmpl w:val="D4B0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71"/>
    <w:rsid w:val="000015F6"/>
    <w:rsid w:val="000B6655"/>
    <w:rsid w:val="000F08D9"/>
    <w:rsid w:val="00136058"/>
    <w:rsid w:val="002263A1"/>
    <w:rsid w:val="00236F56"/>
    <w:rsid w:val="00316360"/>
    <w:rsid w:val="004D36FF"/>
    <w:rsid w:val="004D6AEA"/>
    <w:rsid w:val="0053645D"/>
    <w:rsid w:val="005C1048"/>
    <w:rsid w:val="00600727"/>
    <w:rsid w:val="00645346"/>
    <w:rsid w:val="006541D2"/>
    <w:rsid w:val="00686B8B"/>
    <w:rsid w:val="008409D1"/>
    <w:rsid w:val="008464E9"/>
    <w:rsid w:val="008802E3"/>
    <w:rsid w:val="008D36CA"/>
    <w:rsid w:val="00960A6E"/>
    <w:rsid w:val="009B18FC"/>
    <w:rsid w:val="009C02E4"/>
    <w:rsid w:val="00A31D71"/>
    <w:rsid w:val="00AF732A"/>
    <w:rsid w:val="00BA17E3"/>
    <w:rsid w:val="00CB378B"/>
    <w:rsid w:val="00CF3F5C"/>
    <w:rsid w:val="00DB4C89"/>
    <w:rsid w:val="00E320B9"/>
    <w:rsid w:val="00EC1B23"/>
    <w:rsid w:val="00F8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A63A"/>
  <w15:chartTrackingRefBased/>
  <w15:docId w15:val="{73BC010D-EE15-41A8-A581-31314E09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A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D71"/>
    <w:rPr>
      <w:color w:val="0563C1" w:themeColor="hyperlink"/>
      <w:u w:val="single"/>
    </w:rPr>
  </w:style>
  <w:style w:type="character" w:styleId="UnresolvedMention">
    <w:name w:val="Unresolved Mention"/>
    <w:basedOn w:val="DefaultParagraphFont"/>
    <w:uiPriority w:val="99"/>
    <w:semiHidden/>
    <w:unhideWhenUsed/>
    <w:rsid w:val="00A31D71"/>
    <w:rPr>
      <w:color w:val="605E5C"/>
      <w:shd w:val="clear" w:color="auto" w:fill="E1DFDD"/>
    </w:rPr>
  </w:style>
  <w:style w:type="character" w:styleId="FollowedHyperlink">
    <w:name w:val="FollowedHyperlink"/>
    <w:basedOn w:val="DefaultParagraphFont"/>
    <w:uiPriority w:val="99"/>
    <w:semiHidden/>
    <w:unhideWhenUsed/>
    <w:rsid w:val="00645346"/>
    <w:rPr>
      <w:color w:val="954F72" w:themeColor="followedHyperlink"/>
      <w:u w:val="single"/>
    </w:rPr>
  </w:style>
  <w:style w:type="character" w:styleId="CommentReference">
    <w:name w:val="annotation reference"/>
    <w:basedOn w:val="DefaultParagraphFont"/>
    <w:uiPriority w:val="99"/>
    <w:semiHidden/>
    <w:unhideWhenUsed/>
    <w:rsid w:val="005C1048"/>
    <w:rPr>
      <w:sz w:val="16"/>
      <w:szCs w:val="16"/>
    </w:rPr>
  </w:style>
  <w:style w:type="paragraph" w:styleId="CommentText">
    <w:name w:val="annotation text"/>
    <w:basedOn w:val="Normal"/>
    <w:link w:val="CommentTextChar"/>
    <w:uiPriority w:val="99"/>
    <w:semiHidden/>
    <w:unhideWhenUsed/>
    <w:rsid w:val="005C1048"/>
    <w:pPr>
      <w:spacing w:line="240" w:lineRule="auto"/>
    </w:pPr>
    <w:rPr>
      <w:sz w:val="20"/>
      <w:szCs w:val="20"/>
    </w:rPr>
  </w:style>
  <w:style w:type="character" w:customStyle="1" w:styleId="CommentTextChar">
    <w:name w:val="Comment Text Char"/>
    <w:basedOn w:val="DefaultParagraphFont"/>
    <w:link w:val="CommentText"/>
    <w:uiPriority w:val="99"/>
    <w:semiHidden/>
    <w:rsid w:val="005C1048"/>
    <w:rPr>
      <w:sz w:val="20"/>
      <w:szCs w:val="20"/>
    </w:rPr>
  </w:style>
  <w:style w:type="paragraph" w:styleId="CommentSubject">
    <w:name w:val="annotation subject"/>
    <w:basedOn w:val="CommentText"/>
    <w:next w:val="CommentText"/>
    <w:link w:val="CommentSubjectChar"/>
    <w:uiPriority w:val="99"/>
    <w:semiHidden/>
    <w:unhideWhenUsed/>
    <w:rsid w:val="005C1048"/>
    <w:rPr>
      <w:b/>
      <w:bCs/>
    </w:rPr>
  </w:style>
  <w:style w:type="character" w:customStyle="1" w:styleId="CommentSubjectChar">
    <w:name w:val="Comment Subject Char"/>
    <w:basedOn w:val="CommentTextChar"/>
    <w:link w:val="CommentSubject"/>
    <w:uiPriority w:val="99"/>
    <w:semiHidden/>
    <w:rsid w:val="005C1048"/>
    <w:rPr>
      <w:b/>
      <w:bCs/>
      <w:sz w:val="20"/>
      <w:szCs w:val="20"/>
    </w:rPr>
  </w:style>
  <w:style w:type="paragraph" w:styleId="BalloonText">
    <w:name w:val="Balloon Text"/>
    <w:basedOn w:val="Normal"/>
    <w:link w:val="BalloonTextChar"/>
    <w:uiPriority w:val="99"/>
    <w:semiHidden/>
    <w:unhideWhenUsed/>
    <w:rsid w:val="005C1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048"/>
    <w:rPr>
      <w:rFonts w:ascii="Segoe UI" w:hAnsi="Segoe UI" w:cs="Segoe UI"/>
      <w:sz w:val="18"/>
      <w:szCs w:val="18"/>
    </w:rPr>
  </w:style>
  <w:style w:type="paragraph" w:styleId="ListParagraph">
    <w:name w:val="List Paragraph"/>
    <w:basedOn w:val="Normal"/>
    <w:uiPriority w:val="34"/>
    <w:qFormat/>
    <w:rsid w:val="000B6655"/>
    <w:pPr>
      <w:ind w:left="720"/>
      <w:contextualSpacing/>
    </w:pPr>
  </w:style>
  <w:style w:type="paragraph" w:styleId="Title">
    <w:name w:val="Title"/>
    <w:basedOn w:val="Normal"/>
    <w:next w:val="Normal"/>
    <w:link w:val="TitleChar"/>
    <w:uiPriority w:val="10"/>
    <w:qFormat/>
    <w:rsid w:val="00960A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A6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60A6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53146">
      <w:bodyDiv w:val="1"/>
      <w:marLeft w:val="0"/>
      <w:marRight w:val="0"/>
      <w:marTop w:val="0"/>
      <w:marBottom w:val="0"/>
      <w:divBdr>
        <w:top w:val="none" w:sz="0" w:space="0" w:color="auto"/>
        <w:left w:val="none" w:sz="0" w:space="0" w:color="auto"/>
        <w:bottom w:val="none" w:sz="0" w:space="0" w:color="auto"/>
        <w:right w:val="none" w:sz="0" w:space="0" w:color="auto"/>
      </w:divBdr>
      <w:divsChild>
        <w:div w:id="1398749102">
          <w:marLeft w:val="0"/>
          <w:marRight w:val="0"/>
          <w:marTop w:val="0"/>
          <w:marBottom w:val="0"/>
          <w:divBdr>
            <w:top w:val="none" w:sz="0" w:space="0" w:color="auto"/>
            <w:left w:val="none" w:sz="0" w:space="0" w:color="auto"/>
            <w:bottom w:val="none" w:sz="0" w:space="0" w:color="auto"/>
            <w:right w:val="none" w:sz="0" w:space="0" w:color="auto"/>
          </w:divBdr>
          <w:divsChild>
            <w:div w:id="1012995853">
              <w:marLeft w:val="0"/>
              <w:marRight w:val="0"/>
              <w:marTop w:val="0"/>
              <w:marBottom w:val="0"/>
              <w:divBdr>
                <w:top w:val="none" w:sz="0" w:space="0" w:color="auto"/>
                <w:left w:val="none" w:sz="0" w:space="0" w:color="auto"/>
                <w:bottom w:val="none" w:sz="0" w:space="0" w:color="auto"/>
                <w:right w:val="none" w:sz="0" w:space="0" w:color="auto"/>
              </w:divBdr>
              <w:divsChild>
                <w:div w:id="1319502626">
                  <w:marLeft w:val="0"/>
                  <w:marRight w:val="0"/>
                  <w:marTop w:val="0"/>
                  <w:marBottom w:val="0"/>
                  <w:divBdr>
                    <w:top w:val="none" w:sz="0" w:space="0" w:color="auto"/>
                    <w:left w:val="none" w:sz="0" w:space="0" w:color="auto"/>
                    <w:bottom w:val="none" w:sz="0" w:space="0" w:color="auto"/>
                    <w:right w:val="none" w:sz="0" w:space="0" w:color="auto"/>
                  </w:divBdr>
                  <w:divsChild>
                    <w:div w:id="615605837">
                      <w:marLeft w:val="0"/>
                      <w:marRight w:val="0"/>
                      <w:marTop w:val="0"/>
                      <w:marBottom w:val="0"/>
                      <w:divBdr>
                        <w:top w:val="none" w:sz="0" w:space="0" w:color="auto"/>
                        <w:left w:val="none" w:sz="0" w:space="0" w:color="auto"/>
                        <w:bottom w:val="none" w:sz="0" w:space="0" w:color="auto"/>
                        <w:right w:val="none" w:sz="0" w:space="0" w:color="auto"/>
                      </w:divBdr>
                      <w:divsChild>
                        <w:div w:id="2078092395">
                          <w:marLeft w:val="0"/>
                          <w:marRight w:val="0"/>
                          <w:marTop w:val="0"/>
                          <w:marBottom w:val="0"/>
                          <w:divBdr>
                            <w:top w:val="none" w:sz="0" w:space="0" w:color="auto"/>
                            <w:left w:val="none" w:sz="0" w:space="0" w:color="auto"/>
                            <w:bottom w:val="none" w:sz="0" w:space="0" w:color="auto"/>
                            <w:right w:val="none" w:sz="0" w:space="0" w:color="auto"/>
                          </w:divBdr>
                          <w:divsChild>
                            <w:div w:id="965160229">
                              <w:marLeft w:val="0"/>
                              <w:marRight w:val="0"/>
                              <w:marTop w:val="0"/>
                              <w:marBottom w:val="0"/>
                              <w:divBdr>
                                <w:top w:val="none" w:sz="0" w:space="0" w:color="auto"/>
                                <w:left w:val="none" w:sz="0" w:space="0" w:color="auto"/>
                                <w:bottom w:val="none" w:sz="0" w:space="0" w:color="auto"/>
                                <w:right w:val="none" w:sz="0" w:space="0" w:color="auto"/>
                              </w:divBdr>
                              <w:divsChild>
                                <w:div w:id="1265919925">
                                  <w:marLeft w:val="0"/>
                                  <w:marRight w:val="0"/>
                                  <w:marTop w:val="0"/>
                                  <w:marBottom w:val="0"/>
                                  <w:divBdr>
                                    <w:top w:val="none" w:sz="0" w:space="0" w:color="auto"/>
                                    <w:left w:val="none" w:sz="0" w:space="0" w:color="auto"/>
                                    <w:bottom w:val="none" w:sz="0" w:space="0" w:color="auto"/>
                                    <w:right w:val="none" w:sz="0" w:space="0" w:color="auto"/>
                                  </w:divBdr>
                                  <w:divsChild>
                                    <w:div w:id="1402950330">
                                      <w:marLeft w:val="0"/>
                                      <w:marRight w:val="0"/>
                                      <w:marTop w:val="0"/>
                                      <w:marBottom w:val="0"/>
                                      <w:divBdr>
                                        <w:top w:val="none" w:sz="0" w:space="0" w:color="auto"/>
                                        <w:left w:val="none" w:sz="0" w:space="0" w:color="auto"/>
                                        <w:bottom w:val="none" w:sz="0" w:space="0" w:color="auto"/>
                                        <w:right w:val="none" w:sz="0" w:space="0" w:color="auto"/>
                                      </w:divBdr>
                                      <w:divsChild>
                                        <w:div w:id="1617371564">
                                          <w:marLeft w:val="0"/>
                                          <w:marRight w:val="0"/>
                                          <w:marTop w:val="0"/>
                                          <w:marBottom w:val="0"/>
                                          <w:divBdr>
                                            <w:top w:val="none" w:sz="0" w:space="0" w:color="auto"/>
                                            <w:left w:val="none" w:sz="0" w:space="0" w:color="auto"/>
                                            <w:bottom w:val="none" w:sz="0" w:space="0" w:color="auto"/>
                                            <w:right w:val="none" w:sz="0" w:space="0" w:color="auto"/>
                                          </w:divBdr>
                                          <w:divsChild>
                                            <w:div w:id="1940942268">
                                              <w:marLeft w:val="0"/>
                                              <w:marRight w:val="0"/>
                                              <w:marTop w:val="0"/>
                                              <w:marBottom w:val="0"/>
                                              <w:divBdr>
                                                <w:top w:val="none" w:sz="0" w:space="0" w:color="auto"/>
                                                <w:left w:val="none" w:sz="0" w:space="0" w:color="auto"/>
                                                <w:bottom w:val="none" w:sz="0" w:space="0" w:color="auto"/>
                                                <w:right w:val="none" w:sz="0" w:space="0" w:color="auto"/>
                                              </w:divBdr>
                                              <w:divsChild>
                                                <w:div w:id="17775213">
                                                  <w:marLeft w:val="0"/>
                                                  <w:marRight w:val="0"/>
                                                  <w:marTop w:val="0"/>
                                                  <w:marBottom w:val="0"/>
                                                  <w:divBdr>
                                                    <w:top w:val="none" w:sz="0" w:space="0" w:color="auto"/>
                                                    <w:left w:val="none" w:sz="0" w:space="0" w:color="auto"/>
                                                    <w:bottom w:val="none" w:sz="0" w:space="0" w:color="auto"/>
                                                    <w:right w:val="none" w:sz="0" w:space="0" w:color="auto"/>
                                                  </w:divBdr>
                                                  <w:divsChild>
                                                    <w:div w:id="20876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35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policies/policy-documents/cellular-service-stipend-policy.shtml" TargetMode="External"/><Relationship Id="rId3" Type="http://schemas.openxmlformats.org/officeDocument/2006/relationships/settings" Target="settings.xml"/><Relationship Id="rId7" Type="http://schemas.openxmlformats.org/officeDocument/2006/relationships/hyperlink" Target="http://www.ecfr.gov/cgi-bin/text-idx?node=se2.1.200_14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divresearch/funding/award-lifecycle/managing/award-changes.shtml" TargetMode="External"/><Relationship Id="rId11" Type="http://schemas.openxmlformats.org/officeDocument/2006/relationships/fontTable" Target="fontTable.xml"/><Relationship Id="rId5" Type="http://schemas.openxmlformats.org/officeDocument/2006/relationships/hyperlink" Target="http://www.ecfr.gov/cgi-bin/text-idx?node=se2.1.200_1413" TargetMode="External"/><Relationship Id="rId10" Type="http://schemas.openxmlformats.org/officeDocument/2006/relationships/hyperlink" Target="https://www.niu.edu/doit/about/policies/data-classification.shtml" TargetMode="External"/><Relationship Id="rId4" Type="http://schemas.openxmlformats.org/officeDocument/2006/relationships/webSettings" Target="webSettings.xml"/><Relationship Id="rId9" Type="http://schemas.openxmlformats.org/officeDocument/2006/relationships/hyperlink" Target="https://www.niu.edu/doit/about/policies/traveler-guideli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Little</dc:creator>
  <cp:keywords/>
  <dc:description/>
  <cp:lastModifiedBy>Jessica Webb</cp:lastModifiedBy>
  <cp:revision>2</cp:revision>
  <dcterms:created xsi:type="dcterms:W3CDTF">2021-03-26T21:35:00Z</dcterms:created>
  <dcterms:modified xsi:type="dcterms:W3CDTF">2021-03-26T21:35:00Z</dcterms:modified>
</cp:coreProperties>
</file>