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7001F" w14:textId="77777777" w:rsidR="003603EE" w:rsidRPr="00064233" w:rsidRDefault="00000000" w:rsidP="00064233">
      <w:pPr>
        <w:pStyle w:val="Title"/>
        <w:rPr>
          <w:rFonts w:ascii="Times New Roman" w:hAnsi="Times New Roman" w:cs="Times New Roman"/>
          <w:b/>
          <w:bCs/>
        </w:rPr>
      </w:pPr>
      <w:r w:rsidRPr="00064233">
        <w:rPr>
          <w:rFonts w:ascii="Times New Roman" w:hAnsi="Times New Roman" w:cs="Times New Roman"/>
          <w:b/>
          <w:bCs/>
        </w:rPr>
        <w:t>CLAS</w:t>
      </w:r>
      <w:r w:rsidRPr="00064233">
        <w:rPr>
          <w:rFonts w:ascii="Times New Roman" w:hAnsi="Times New Roman" w:cs="Times New Roman"/>
          <w:b/>
          <w:bCs/>
          <w:spacing w:val="-4"/>
        </w:rPr>
        <w:t xml:space="preserve"> </w:t>
      </w:r>
      <w:r w:rsidRPr="00064233">
        <w:rPr>
          <w:rFonts w:ascii="Times New Roman" w:hAnsi="Times New Roman" w:cs="Times New Roman"/>
          <w:b/>
          <w:bCs/>
        </w:rPr>
        <w:t>Faculty</w:t>
      </w:r>
      <w:r w:rsidRPr="00064233">
        <w:rPr>
          <w:rFonts w:ascii="Times New Roman" w:hAnsi="Times New Roman" w:cs="Times New Roman"/>
          <w:b/>
          <w:bCs/>
          <w:spacing w:val="-6"/>
        </w:rPr>
        <w:t xml:space="preserve"> </w:t>
      </w:r>
      <w:r w:rsidRPr="00064233">
        <w:rPr>
          <w:rFonts w:ascii="Times New Roman" w:hAnsi="Times New Roman" w:cs="Times New Roman"/>
          <w:b/>
          <w:bCs/>
        </w:rPr>
        <w:t>Workload</w:t>
      </w:r>
      <w:r w:rsidRPr="00064233">
        <w:rPr>
          <w:rFonts w:ascii="Times New Roman" w:hAnsi="Times New Roman" w:cs="Times New Roman"/>
          <w:b/>
          <w:bCs/>
          <w:spacing w:val="-5"/>
        </w:rPr>
        <w:t xml:space="preserve"> </w:t>
      </w:r>
      <w:r w:rsidRPr="00064233">
        <w:rPr>
          <w:rFonts w:ascii="Times New Roman" w:hAnsi="Times New Roman" w:cs="Times New Roman"/>
          <w:b/>
          <w:bCs/>
          <w:spacing w:val="-2"/>
        </w:rPr>
        <w:t>Policy:</w:t>
      </w:r>
    </w:p>
    <w:p w14:paraId="35870021" w14:textId="7AB20FD0" w:rsidR="003603EE" w:rsidRPr="00064233" w:rsidRDefault="00000000" w:rsidP="00064233">
      <w:pPr>
        <w:pStyle w:val="Title"/>
        <w:rPr>
          <w:rFonts w:ascii="Times New Roman" w:hAnsi="Times New Roman" w:cs="Times New Roman"/>
          <w:b/>
          <w:bCs/>
        </w:rPr>
      </w:pPr>
      <w:r w:rsidRPr="00064233">
        <w:rPr>
          <w:rFonts w:ascii="Times New Roman" w:hAnsi="Times New Roman" w:cs="Times New Roman"/>
          <w:b/>
          <w:bCs/>
        </w:rPr>
        <w:t>Guidelines</w:t>
      </w:r>
      <w:r w:rsidRPr="00064233">
        <w:rPr>
          <w:rFonts w:ascii="Times New Roman" w:hAnsi="Times New Roman" w:cs="Times New Roman"/>
          <w:b/>
          <w:bCs/>
          <w:spacing w:val="-6"/>
        </w:rPr>
        <w:t xml:space="preserve"> </w:t>
      </w:r>
      <w:r w:rsidRPr="00064233">
        <w:rPr>
          <w:rFonts w:ascii="Times New Roman" w:hAnsi="Times New Roman" w:cs="Times New Roman"/>
          <w:b/>
          <w:bCs/>
        </w:rPr>
        <w:t>for</w:t>
      </w:r>
      <w:r w:rsidRPr="00064233">
        <w:rPr>
          <w:rFonts w:ascii="Times New Roman" w:hAnsi="Times New Roman" w:cs="Times New Roman"/>
          <w:b/>
          <w:bCs/>
          <w:spacing w:val="-3"/>
        </w:rPr>
        <w:t xml:space="preserve"> </w:t>
      </w:r>
      <w:r w:rsidRPr="00064233">
        <w:rPr>
          <w:rFonts w:ascii="Times New Roman" w:hAnsi="Times New Roman" w:cs="Times New Roman"/>
          <w:b/>
          <w:bCs/>
        </w:rPr>
        <w:t>Unit</w:t>
      </w:r>
      <w:r w:rsidRPr="00064233">
        <w:rPr>
          <w:rFonts w:ascii="Times New Roman" w:hAnsi="Times New Roman" w:cs="Times New Roman"/>
          <w:b/>
          <w:bCs/>
          <w:spacing w:val="-6"/>
        </w:rPr>
        <w:t xml:space="preserve"> </w:t>
      </w:r>
      <w:r w:rsidRPr="00064233">
        <w:rPr>
          <w:rFonts w:ascii="Times New Roman" w:hAnsi="Times New Roman" w:cs="Times New Roman"/>
          <w:b/>
          <w:bCs/>
        </w:rPr>
        <w:t>Faculty</w:t>
      </w:r>
      <w:r w:rsidRPr="00064233">
        <w:rPr>
          <w:rFonts w:ascii="Times New Roman" w:hAnsi="Times New Roman" w:cs="Times New Roman"/>
          <w:b/>
          <w:bCs/>
          <w:spacing w:val="-3"/>
        </w:rPr>
        <w:t xml:space="preserve"> </w:t>
      </w:r>
      <w:r w:rsidRPr="00064233">
        <w:rPr>
          <w:rFonts w:ascii="Times New Roman" w:hAnsi="Times New Roman" w:cs="Times New Roman"/>
          <w:b/>
          <w:bCs/>
          <w:spacing w:val="-2"/>
        </w:rPr>
        <w:t>Workloads</w:t>
      </w:r>
    </w:p>
    <w:p w14:paraId="35870022" w14:textId="77777777" w:rsidR="003603EE" w:rsidRDefault="003603EE">
      <w:pPr>
        <w:pStyle w:val="BodyText"/>
        <w:spacing w:before="5"/>
        <w:rPr>
          <w:b/>
          <w:sz w:val="20"/>
        </w:rPr>
      </w:pPr>
    </w:p>
    <w:p w14:paraId="35870023" w14:textId="77777777" w:rsidR="003603EE" w:rsidRPr="00FF7D3A" w:rsidRDefault="00000000" w:rsidP="00064233">
      <w:pPr>
        <w:pStyle w:val="Heading2"/>
        <w:rPr>
          <w:b/>
          <w:bCs/>
          <w:color w:val="000000" w:themeColor="text1"/>
        </w:rPr>
      </w:pPr>
      <w:r w:rsidRPr="00FF7D3A">
        <w:rPr>
          <w:b/>
          <w:bCs/>
          <w:color w:val="000000" w:themeColor="text1"/>
        </w:rPr>
        <w:t>Introduction</w:t>
      </w:r>
    </w:p>
    <w:p w14:paraId="35870024" w14:textId="77777777" w:rsidR="003603EE" w:rsidRDefault="003603EE">
      <w:pPr>
        <w:pStyle w:val="BodyText"/>
        <w:spacing w:before="9"/>
        <w:rPr>
          <w:b/>
          <w:sz w:val="15"/>
        </w:rPr>
      </w:pPr>
    </w:p>
    <w:p w14:paraId="35870025" w14:textId="77777777" w:rsidR="003603EE" w:rsidRDefault="00000000">
      <w:pPr>
        <w:pStyle w:val="BodyText"/>
        <w:spacing w:before="90"/>
        <w:ind w:left="120" w:right="113"/>
        <w:jc w:val="both"/>
      </w:pPr>
      <w:r>
        <w:t>The College Faculty Workload Policy is based on principles of equity and accountability.</w:t>
      </w:r>
      <w:r>
        <w:rPr>
          <w:spacing w:val="40"/>
        </w:rPr>
        <w:t xml:space="preserve"> </w:t>
      </w:r>
      <w:r>
        <w:t xml:space="preserve">Faculty Workload Policies enhance transparency of work assignments </w:t>
      </w:r>
      <w:proofErr w:type="gramStart"/>
      <w:r>
        <w:t>in order to</w:t>
      </w:r>
      <w:proofErr w:type="gramEnd"/>
      <w:r>
        <w:t xml:space="preserve"> ensure faculty, departments/units, and the college are accountable in the treatment of faculty. It has the added benefit of aiding junior and underrepresented faculty groups who might face disadvantages by virtue of informal yet culturally embedded power structures. A Faculty Workload Policy also helps articulate the College’s responsibilities and performance to other University units as well</w:t>
      </w:r>
      <w:r>
        <w:rPr>
          <w:spacing w:val="40"/>
        </w:rPr>
        <w:t xml:space="preserve"> </w:t>
      </w:r>
      <w:r>
        <w:t>as external agencies.</w:t>
      </w:r>
    </w:p>
    <w:p w14:paraId="35870026" w14:textId="77777777" w:rsidR="003603EE" w:rsidRDefault="003603EE">
      <w:pPr>
        <w:pStyle w:val="BodyText"/>
      </w:pPr>
    </w:p>
    <w:p w14:paraId="35870027" w14:textId="77777777" w:rsidR="003603EE" w:rsidRDefault="00000000">
      <w:pPr>
        <w:pStyle w:val="BodyText"/>
        <w:ind w:left="120" w:right="114"/>
        <w:jc w:val="both"/>
      </w:pPr>
      <w:r>
        <w:t>The purpose of the CLAS Faculty Workload Policy is to provide guidelines for the development and implementation of unit level Faculty Workload Policies. In keeping with the University’s Faculty Workload Policy, it is recognized that flexibility and deference to department and disciplinary norms are key factors for establishing faculty workload expectations. In an</w:t>
      </w:r>
      <w:r>
        <w:rPr>
          <w:spacing w:val="40"/>
        </w:rPr>
        <w:t xml:space="preserve"> </w:t>
      </w:r>
      <w:r>
        <w:t>inherently diverse College, it is important to recognize and reward varied faculty practices by establishing</w:t>
      </w:r>
      <w:r>
        <w:rPr>
          <w:spacing w:val="-3"/>
        </w:rPr>
        <w:t xml:space="preserve"> </w:t>
      </w:r>
      <w:r>
        <w:t>guidance</w:t>
      </w:r>
      <w:r>
        <w:rPr>
          <w:spacing w:val="-2"/>
        </w:rPr>
        <w:t xml:space="preserve"> </w:t>
      </w:r>
      <w:r>
        <w:t>principles</w:t>
      </w:r>
      <w:r>
        <w:rPr>
          <w:spacing w:val="-1"/>
        </w:rPr>
        <w:t xml:space="preserve"> </w:t>
      </w:r>
      <w:r>
        <w:t>that</w:t>
      </w:r>
      <w:r>
        <w:rPr>
          <w:spacing w:val="-1"/>
        </w:rPr>
        <w:t xml:space="preserve"> </w:t>
      </w:r>
      <w:r>
        <w:t>allow</w:t>
      </w:r>
      <w:r>
        <w:rPr>
          <w:spacing w:val="-2"/>
        </w:rPr>
        <w:t xml:space="preserve"> </w:t>
      </w:r>
      <w:r>
        <w:t>Departments/Units</w:t>
      </w:r>
      <w:r>
        <w:rPr>
          <w:spacing w:val="-1"/>
        </w:rPr>
        <w:t xml:space="preserve"> </w:t>
      </w:r>
      <w:r>
        <w:t>to</w:t>
      </w:r>
      <w:r>
        <w:rPr>
          <w:spacing w:val="-3"/>
        </w:rPr>
        <w:t xml:space="preserve"> </w:t>
      </w:r>
      <w:r>
        <w:t>function</w:t>
      </w:r>
      <w:r>
        <w:rPr>
          <w:spacing w:val="-1"/>
        </w:rPr>
        <w:t xml:space="preserve"> </w:t>
      </w:r>
      <w:r>
        <w:t>in</w:t>
      </w:r>
      <w:r>
        <w:rPr>
          <w:spacing w:val="-1"/>
        </w:rPr>
        <w:t xml:space="preserve"> </w:t>
      </w:r>
      <w:r>
        <w:t>a</w:t>
      </w:r>
      <w:r>
        <w:rPr>
          <w:spacing w:val="-2"/>
        </w:rPr>
        <w:t xml:space="preserve"> </w:t>
      </w:r>
      <w:r>
        <w:t>manner</w:t>
      </w:r>
      <w:r>
        <w:rPr>
          <w:spacing w:val="-2"/>
        </w:rPr>
        <w:t xml:space="preserve"> </w:t>
      </w:r>
      <w:r>
        <w:t>best</w:t>
      </w:r>
      <w:r>
        <w:rPr>
          <w:spacing w:val="-1"/>
        </w:rPr>
        <w:t xml:space="preserve"> </w:t>
      </w:r>
      <w:r>
        <w:t xml:space="preserve">suited to their disciplines consistent with </w:t>
      </w:r>
      <w:proofErr w:type="gramStart"/>
      <w:r>
        <w:t>College</w:t>
      </w:r>
      <w:proofErr w:type="gramEnd"/>
      <w:r>
        <w:t xml:space="preserve"> goals.</w:t>
      </w:r>
    </w:p>
    <w:p w14:paraId="35870028" w14:textId="77777777" w:rsidR="003603EE" w:rsidRDefault="003603EE">
      <w:pPr>
        <w:pStyle w:val="BodyText"/>
      </w:pPr>
    </w:p>
    <w:p w14:paraId="35870029" w14:textId="77777777" w:rsidR="003603EE" w:rsidRDefault="00000000">
      <w:pPr>
        <w:pStyle w:val="BodyText"/>
        <w:ind w:left="120" w:right="119"/>
        <w:jc w:val="both"/>
      </w:pPr>
      <w:r>
        <w:t>Workload policies need to be aligned with merit, tenure, and promotion policies, but are not a substitute for those policies.</w:t>
      </w:r>
      <w:r>
        <w:rPr>
          <w:spacing w:val="40"/>
        </w:rPr>
        <w:t xml:space="preserve"> </w:t>
      </w:r>
      <w:r>
        <w:t>Rather, the Faculty Workload policies provide a structure for ensuring appropriate overall contributions to the university’s mission, while the fruits of those contributions are acknowledged and rewarded through merit, tenure, and promotion policies.</w:t>
      </w:r>
    </w:p>
    <w:p w14:paraId="3587002A" w14:textId="77777777" w:rsidR="003603EE" w:rsidRDefault="003603EE">
      <w:pPr>
        <w:pStyle w:val="BodyText"/>
      </w:pPr>
    </w:p>
    <w:p w14:paraId="3587002B" w14:textId="77777777" w:rsidR="003603EE" w:rsidRDefault="00000000">
      <w:pPr>
        <w:pStyle w:val="BodyText"/>
        <w:ind w:left="119" w:right="115"/>
        <w:jc w:val="both"/>
      </w:pPr>
      <w:r>
        <w:t>The college policy document is intended to provide a foundation; units are expected to develop their own faculty workload policies. This document also notes the ways in which the college is modifying</w:t>
      </w:r>
      <w:r>
        <w:rPr>
          <w:spacing w:val="-5"/>
        </w:rPr>
        <w:t xml:space="preserve"> </w:t>
      </w:r>
      <w:r>
        <w:t>the</w:t>
      </w:r>
      <w:r>
        <w:rPr>
          <w:spacing w:val="-3"/>
        </w:rPr>
        <w:t xml:space="preserve"> </w:t>
      </w:r>
      <w:r>
        <w:t>expectations</w:t>
      </w:r>
      <w:r>
        <w:rPr>
          <w:spacing w:val="-2"/>
        </w:rPr>
        <w:t xml:space="preserve"> </w:t>
      </w:r>
      <w:r>
        <w:t>of</w:t>
      </w:r>
      <w:r>
        <w:rPr>
          <w:spacing w:val="-3"/>
        </w:rPr>
        <w:t xml:space="preserve"> </w:t>
      </w:r>
      <w:r>
        <w:t>the</w:t>
      </w:r>
      <w:r>
        <w:rPr>
          <w:spacing w:val="-3"/>
        </w:rPr>
        <w:t xml:space="preserve"> </w:t>
      </w:r>
      <w:r>
        <w:t>university-level</w:t>
      </w:r>
      <w:r>
        <w:rPr>
          <w:spacing w:val="-2"/>
        </w:rPr>
        <w:t xml:space="preserve"> </w:t>
      </w:r>
      <w:r>
        <w:t>document.</w:t>
      </w:r>
      <w:r>
        <w:rPr>
          <w:spacing w:val="40"/>
        </w:rPr>
        <w:t xml:space="preserve"> </w:t>
      </w:r>
      <w:r>
        <w:t>Except</w:t>
      </w:r>
      <w:r>
        <w:rPr>
          <w:spacing w:val="-2"/>
        </w:rPr>
        <w:t xml:space="preserve"> </w:t>
      </w:r>
      <w:r>
        <w:t>for</w:t>
      </w:r>
      <w:r>
        <w:rPr>
          <w:spacing w:val="-3"/>
        </w:rPr>
        <w:t xml:space="preserve"> </w:t>
      </w:r>
      <w:r>
        <w:t>those</w:t>
      </w:r>
      <w:r>
        <w:rPr>
          <w:spacing w:val="-3"/>
        </w:rPr>
        <w:t xml:space="preserve"> </w:t>
      </w:r>
      <w:r>
        <w:t>places where</w:t>
      </w:r>
      <w:r>
        <w:rPr>
          <w:spacing w:val="-3"/>
        </w:rPr>
        <w:t xml:space="preserve"> </w:t>
      </w:r>
      <w:r>
        <w:t>such changes from the university-level document are noted, this college-level document is intended to refine and clarify the university-level document and remains subordinate to it.</w:t>
      </w:r>
      <w:r>
        <w:rPr>
          <w:spacing w:val="40"/>
        </w:rPr>
        <w:t xml:space="preserve"> </w:t>
      </w:r>
      <w:r>
        <w:t>Similarly, except for those places where changes from the college- or university-level documents are noted, unit- level documents will be subordinate to the college- and university-level documents; until they produce their own policies, units will be subject to the college- and university-level documents.</w:t>
      </w:r>
    </w:p>
    <w:p w14:paraId="3587002C" w14:textId="77777777" w:rsidR="003603EE" w:rsidRDefault="003603EE">
      <w:pPr>
        <w:pStyle w:val="BodyText"/>
      </w:pPr>
    </w:p>
    <w:p w14:paraId="3587002D" w14:textId="77777777" w:rsidR="003603EE" w:rsidRDefault="00000000">
      <w:pPr>
        <w:pStyle w:val="BodyText"/>
        <w:spacing w:before="1"/>
        <w:ind w:left="119" w:right="116"/>
        <w:jc w:val="both"/>
      </w:pPr>
      <w:r>
        <w:t xml:space="preserve">Section II establishes the framework for the process </w:t>
      </w:r>
      <w:proofErr w:type="gramStart"/>
      <w:r>
        <w:t>for</w:t>
      </w:r>
      <w:proofErr w:type="gramEnd"/>
      <w:r>
        <w:t xml:space="preserve"> setting unit-level and individual</w:t>
      </w:r>
      <w:r>
        <w:rPr>
          <w:spacing w:val="40"/>
        </w:rPr>
        <w:t xml:space="preserve"> </w:t>
      </w:r>
      <w:r>
        <w:t>workload</w:t>
      </w:r>
      <w:r>
        <w:rPr>
          <w:spacing w:val="-3"/>
        </w:rPr>
        <w:t xml:space="preserve"> </w:t>
      </w:r>
      <w:r>
        <w:t>expectations.</w:t>
      </w:r>
      <w:r>
        <w:rPr>
          <w:spacing w:val="40"/>
        </w:rPr>
        <w:t xml:space="preserve"> </w:t>
      </w:r>
      <w:r>
        <w:t>This</w:t>
      </w:r>
      <w:r>
        <w:rPr>
          <w:spacing w:val="-3"/>
        </w:rPr>
        <w:t xml:space="preserve"> </w:t>
      </w:r>
      <w:r>
        <w:t>process</w:t>
      </w:r>
      <w:r>
        <w:rPr>
          <w:spacing w:val="-3"/>
        </w:rPr>
        <w:t xml:space="preserve"> </w:t>
      </w:r>
      <w:r>
        <w:t>will</w:t>
      </w:r>
      <w:r>
        <w:rPr>
          <w:spacing w:val="-3"/>
        </w:rPr>
        <w:t xml:space="preserve"> </w:t>
      </w:r>
      <w:r>
        <w:t>include</w:t>
      </w:r>
      <w:r>
        <w:rPr>
          <w:spacing w:val="-2"/>
        </w:rPr>
        <w:t xml:space="preserve"> </w:t>
      </w:r>
      <w:r>
        <w:t>justifying</w:t>
      </w:r>
      <w:r>
        <w:rPr>
          <w:spacing w:val="-3"/>
        </w:rPr>
        <w:t xml:space="preserve"> </w:t>
      </w:r>
      <w:r>
        <w:t>teaching</w:t>
      </w:r>
      <w:r>
        <w:rPr>
          <w:spacing w:val="-6"/>
        </w:rPr>
        <w:t xml:space="preserve"> </w:t>
      </w:r>
      <w:r>
        <w:t>load</w:t>
      </w:r>
      <w:r>
        <w:rPr>
          <w:spacing w:val="-2"/>
        </w:rPr>
        <w:t xml:space="preserve"> </w:t>
      </w:r>
      <w:r>
        <w:t>expectations</w:t>
      </w:r>
      <w:r>
        <w:rPr>
          <w:spacing w:val="-3"/>
        </w:rPr>
        <w:t xml:space="preserve"> </w:t>
      </w:r>
      <w:r>
        <w:t>at</w:t>
      </w:r>
      <w:r>
        <w:rPr>
          <w:spacing w:val="-3"/>
        </w:rPr>
        <w:t xml:space="preserve"> </w:t>
      </w:r>
      <w:r>
        <w:t>the</w:t>
      </w:r>
      <w:r>
        <w:rPr>
          <w:spacing w:val="-4"/>
        </w:rPr>
        <w:t xml:space="preserve"> </w:t>
      </w:r>
      <w:r>
        <w:t>unit level relative to the 3-3 baseline established in the University Workload Policy. It also provides guidance on establishing workload expectations for research, service, and engaged learning. Section III indicates specific adjustments to the university workload policy, undertaken to</w:t>
      </w:r>
      <w:r>
        <w:rPr>
          <w:spacing w:val="40"/>
        </w:rPr>
        <w:t xml:space="preserve"> </w:t>
      </w:r>
      <w:r>
        <w:t>address distinctive missions within the college.</w:t>
      </w:r>
      <w:r>
        <w:rPr>
          <w:spacing w:val="40"/>
        </w:rPr>
        <w:t xml:space="preserve"> </w:t>
      </w:r>
      <w:r>
        <w:t>At present, two aspects of the college are considered:</w:t>
      </w:r>
      <w:r>
        <w:rPr>
          <w:spacing w:val="80"/>
        </w:rPr>
        <w:t xml:space="preserve"> </w:t>
      </w:r>
      <w:r>
        <w:t xml:space="preserve">joint appointments and interdisciplinary teaching; and the teacher certification </w:t>
      </w:r>
      <w:r>
        <w:rPr>
          <w:spacing w:val="-2"/>
        </w:rPr>
        <w:t>programs.</w:t>
      </w:r>
    </w:p>
    <w:p w14:paraId="3587002E" w14:textId="77777777" w:rsidR="003603EE" w:rsidRDefault="003603EE">
      <w:pPr>
        <w:jc w:val="both"/>
        <w:sectPr w:rsidR="003603EE">
          <w:footerReference w:type="default" r:id="rId7"/>
          <w:type w:val="continuous"/>
          <w:pgSz w:w="12240" w:h="15840"/>
          <w:pgMar w:top="1360" w:right="1320" w:bottom="1200" w:left="1320" w:header="0" w:footer="1017" w:gutter="0"/>
          <w:pgNumType w:start="1"/>
          <w:cols w:space="720"/>
        </w:sectPr>
      </w:pPr>
    </w:p>
    <w:p w14:paraId="3587002F" w14:textId="2823EFAB" w:rsidR="003603EE" w:rsidRPr="006F59C0" w:rsidRDefault="006A4719" w:rsidP="006A4719">
      <w:pPr>
        <w:pStyle w:val="Heading2"/>
        <w:rPr>
          <w:b/>
          <w:bCs/>
          <w:color w:val="000000" w:themeColor="text1"/>
        </w:rPr>
      </w:pPr>
      <w:r w:rsidRPr="006A4719">
        <w:rPr>
          <w:b/>
          <w:bCs/>
          <w:color w:val="000000" w:themeColor="text1"/>
        </w:rPr>
        <w:lastRenderedPageBreak/>
        <w:t>I.</w:t>
      </w:r>
      <w:r>
        <w:rPr>
          <w:b/>
          <w:bCs/>
          <w:color w:val="000000" w:themeColor="text1"/>
        </w:rPr>
        <w:t xml:space="preserve"> </w:t>
      </w:r>
      <w:r w:rsidR="00000000" w:rsidRPr="006F59C0">
        <w:rPr>
          <w:b/>
          <w:bCs/>
          <w:color w:val="000000" w:themeColor="text1"/>
        </w:rPr>
        <w:t>Process</w:t>
      </w:r>
      <w:r w:rsidR="00000000" w:rsidRPr="006F59C0">
        <w:rPr>
          <w:b/>
          <w:bCs/>
          <w:color w:val="000000" w:themeColor="text1"/>
          <w:spacing w:val="-6"/>
        </w:rPr>
        <w:t xml:space="preserve"> </w:t>
      </w:r>
      <w:r w:rsidR="00000000" w:rsidRPr="006F59C0">
        <w:rPr>
          <w:b/>
          <w:bCs/>
          <w:color w:val="000000" w:themeColor="text1"/>
        </w:rPr>
        <w:t>for</w:t>
      </w:r>
      <w:r w:rsidR="00000000" w:rsidRPr="006F59C0">
        <w:rPr>
          <w:b/>
          <w:bCs/>
          <w:color w:val="000000" w:themeColor="text1"/>
          <w:spacing w:val="-4"/>
        </w:rPr>
        <w:t xml:space="preserve"> </w:t>
      </w:r>
      <w:r w:rsidR="00000000" w:rsidRPr="006F59C0">
        <w:rPr>
          <w:b/>
          <w:bCs/>
          <w:color w:val="000000" w:themeColor="text1"/>
        </w:rPr>
        <w:t>Setting</w:t>
      </w:r>
      <w:r w:rsidR="00000000" w:rsidRPr="006F59C0">
        <w:rPr>
          <w:b/>
          <w:bCs/>
          <w:color w:val="000000" w:themeColor="text1"/>
          <w:spacing w:val="-3"/>
        </w:rPr>
        <w:t xml:space="preserve"> </w:t>
      </w:r>
      <w:r w:rsidR="00000000" w:rsidRPr="006F59C0">
        <w:rPr>
          <w:b/>
          <w:bCs/>
          <w:color w:val="000000" w:themeColor="text1"/>
        </w:rPr>
        <w:t>Workload</w:t>
      </w:r>
      <w:r w:rsidR="00000000" w:rsidRPr="006F59C0">
        <w:rPr>
          <w:b/>
          <w:bCs/>
          <w:color w:val="000000" w:themeColor="text1"/>
          <w:spacing w:val="-2"/>
        </w:rPr>
        <w:t xml:space="preserve"> Expectations</w:t>
      </w:r>
    </w:p>
    <w:p w14:paraId="35870030" w14:textId="77777777" w:rsidR="003603EE" w:rsidRDefault="00000000">
      <w:pPr>
        <w:pStyle w:val="BodyText"/>
        <w:ind w:left="120" w:right="116"/>
        <w:jc w:val="both"/>
      </w:pPr>
      <w:r>
        <w:t>The establishment of individual workload expectations will be a two-step process:</w:t>
      </w:r>
      <w:r>
        <w:rPr>
          <w:spacing w:val="80"/>
        </w:rPr>
        <w:t xml:space="preserve"> </w:t>
      </w:r>
      <w:r>
        <w:t>first, units and the college office will work together to establish overall workload expectations for the unit’s professorial faculty.</w:t>
      </w:r>
      <w:r>
        <w:rPr>
          <w:spacing w:val="40"/>
        </w:rPr>
        <w:t xml:space="preserve"> </w:t>
      </w:r>
      <w:r>
        <w:t>Then the unit will develop individual workload expectations for individual faculty</w:t>
      </w:r>
      <w:r>
        <w:rPr>
          <w:spacing w:val="-2"/>
        </w:rPr>
        <w:t xml:space="preserve"> </w:t>
      </w:r>
      <w:r>
        <w:t>members, working within the parameters set by</w:t>
      </w:r>
      <w:r>
        <w:rPr>
          <w:spacing w:val="-2"/>
        </w:rPr>
        <w:t xml:space="preserve"> </w:t>
      </w:r>
      <w:r>
        <w:t>the unit-level expectations, as well as the university, college and unit-level policies.</w:t>
      </w:r>
    </w:p>
    <w:p w14:paraId="35870031" w14:textId="77777777" w:rsidR="003603EE" w:rsidRDefault="003603EE">
      <w:pPr>
        <w:pStyle w:val="BodyText"/>
        <w:spacing w:before="3"/>
      </w:pPr>
    </w:p>
    <w:p w14:paraId="35870032" w14:textId="77777777" w:rsidR="003603EE" w:rsidRPr="006A4719" w:rsidRDefault="00000000">
      <w:pPr>
        <w:pStyle w:val="Heading1"/>
        <w:numPr>
          <w:ilvl w:val="1"/>
          <w:numId w:val="5"/>
        </w:numPr>
        <w:tabs>
          <w:tab w:val="left" w:pos="564"/>
        </w:tabs>
        <w:jc w:val="both"/>
        <w:rPr>
          <w:rStyle w:val="Strong"/>
          <w:b/>
          <w:bCs/>
        </w:rPr>
      </w:pPr>
      <w:r w:rsidRPr="006A4719">
        <w:rPr>
          <w:rStyle w:val="Strong"/>
          <w:b/>
          <w:bCs/>
        </w:rPr>
        <w:t>Unit-Level Expectations</w:t>
      </w:r>
    </w:p>
    <w:p w14:paraId="35870033" w14:textId="77777777" w:rsidR="003603EE" w:rsidRDefault="00000000">
      <w:pPr>
        <w:pStyle w:val="BodyText"/>
        <w:ind w:left="120" w:right="120"/>
        <w:jc w:val="both"/>
      </w:pPr>
      <w:r>
        <w:t>As part of the foundation for the establishment of individual workload agreements, the College and unit will agree on the overall workload expectations of the unit</w:t>
      </w:r>
      <w:proofErr w:type="gramStart"/>
      <w:r>
        <w:t>, and in particular,</w:t>
      </w:r>
      <w:proofErr w:type="gramEnd"/>
      <w:r>
        <w:t xml:space="preserve"> the professorial faculty</w:t>
      </w:r>
      <w:r>
        <w:rPr>
          <w:spacing w:val="-1"/>
        </w:rPr>
        <w:t xml:space="preserve"> </w:t>
      </w:r>
      <w:r>
        <w:t>of the unit. These unit-level expectations will be reviewed every three years.</w:t>
      </w:r>
    </w:p>
    <w:p w14:paraId="35870034" w14:textId="77777777" w:rsidR="003603EE" w:rsidRDefault="003603EE">
      <w:pPr>
        <w:pStyle w:val="BodyText"/>
        <w:spacing w:before="9"/>
        <w:rPr>
          <w:sz w:val="23"/>
        </w:rPr>
      </w:pPr>
    </w:p>
    <w:p w14:paraId="35870035" w14:textId="77777777" w:rsidR="003603EE" w:rsidRDefault="00000000">
      <w:pPr>
        <w:pStyle w:val="BodyText"/>
        <w:ind w:left="120"/>
      </w:pPr>
      <w:r>
        <w:t>Expectations</w:t>
      </w:r>
      <w:r>
        <w:rPr>
          <w:spacing w:val="39"/>
        </w:rPr>
        <w:t xml:space="preserve"> </w:t>
      </w:r>
      <w:r>
        <w:t>for</w:t>
      </w:r>
      <w:r>
        <w:rPr>
          <w:spacing w:val="38"/>
        </w:rPr>
        <w:t xml:space="preserve"> </w:t>
      </w:r>
      <w:r>
        <w:t>instructional</w:t>
      </w:r>
      <w:r>
        <w:rPr>
          <w:spacing w:val="37"/>
        </w:rPr>
        <w:t xml:space="preserve"> </w:t>
      </w:r>
      <w:r>
        <w:t>effort</w:t>
      </w:r>
      <w:r>
        <w:rPr>
          <w:spacing w:val="37"/>
        </w:rPr>
        <w:t xml:space="preserve"> </w:t>
      </w:r>
      <w:r>
        <w:t>will</w:t>
      </w:r>
      <w:r>
        <w:rPr>
          <w:spacing w:val="39"/>
        </w:rPr>
        <w:t xml:space="preserve"> </w:t>
      </w:r>
      <w:r>
        <w:t>take</w:t>
      </w:r>
      <w:r>
        <w:rPr>
          <w:spacing w:val="40"/>
        </w:rPr>
        <w:t xml:space="preserve"> </w:t>
      </w:r>
      <w:r>
        <w:t>the</w:t>
      </w:r>
      <w:r>
        <w:rPr>
          <w:spacing w:val="37"/>
        </w:rPr>
        <w:t xml:space="preserve"> </w:t>
      </w:r>
      <w:r>
        <w:t>form</w:t>
      </w:r>
      <w:r>
        <w:rPr>
          <w:spacing w:val="40"/>
        </w:rPr>
        <w:t xml:space="preserve"> </w:t>
      </w:r>
      <w:r>
        <w:t>of</w:t>
      </w:r>
      <w:r>
        <w:rPr>
          <w:spacing w:val="38"/>
        </w:rPr>
        <w:t xml:space="preserve"> </w:t>
      </w:r>
      <w:proofErr w:type="gramStart"/>
      <w:r>
        <w:t>minima</w:t>
      </w:r>
      <w:proofErr w:type="gramEnd"/>
      <w:r>
        <w:rPr>
          <w:spacing w:val="40"/>
        </w:rPr>
        <w:t xml:space="preserve"> </w:t>
      </w:r>
      <w:r>
        <w:t>for</w:t>
      </w:r>
      <w:r>
        <w:rPr>
          <w:spacing w:val="38"/>
        </w:rPr>
        <w:t xml:space="preserve"> </w:t>
      </w:r>
      <w:r>
        <w:t>instructional</w:t>
      </w:r>
      <w:r>
        <w:rPr>
          <w:spacing w:val="37"/>
        </w:rPr>
        <w:t xml:space="preserve"> </w:t>
      </w:r>
      <w:r>
        <w:t>effort</w:t>
      </w:r>
      <w:r>
        <w:rPr>
          <w:spacing w:val="37"/>
        </w:rPr>
        <w:t xml:space="preserve"> </w:t>
      </w:r>
      <w:r>
        <w:t xml:space="preserve">per faculty FTE, with effort measured by some or </w:t>
      </w:r>
      <w:proofErr w:type="gramStart"/>
      <w:r>
        <w:t>all of</w:t>
      </w:r>
      <w:proofErr w:type="gramEnd"/>
      <w:r>
        <w:t xml:space="preserve"> the following:</w:t>
      </w:r>
    </w:p>
    <w:p w14:paraId="35870036" w14:textId="77777777" w:rsidR="003603EE" w:rsidRDefault="00000000">
      <w:pPr>
        <w:pStyle w:val="ListParagraph"/>
        <w:numPr>
          <w:ilvl w:val="2"/>
          <w:numId w:val="5"/>
        </w:numPr>
        <w:tabs>
          <w:tab w:val="left" w:pos="839"/>
          <w:tab w:val="left" w:pos="840"/>
        </w:tabs>
        <w:spacing w:before="2" w:line="293" w:lineRule="exact"/>
        <w:jc w:val="left"/>
        <w:rPr>
          <w:sz w:val="24"/>
        </w:rPr>
      </w:pPr>
      <w:r>
        <w:rPr>
          <w:sz w:val="24"/>
        </w:rPr>
        <w:t>Student</w:t>
      </w:r>
      <w:r>
        <w:rPr>
          <w:spacing w:val="-3"/>
          <w:sz w:val="24"/>
        </w:rPr>
        <w:t xml:space="preserve"> </w:t>
      </w:r>
      <w:r>
        <w:rPr>
          <w:sz w:val="24"/>
        </w:rPr>
        <w:t>credit</w:t>
      </w:r>
      <w:r>
        <w:rPr>
          <w:spacing w:val="-2"/>
          <w:sz w:val="24"/>
        </w:rPr>
        <w:t xml:space="preserve"> </w:t>
      </w:r>
      <w:r>
        <w:rPr>
          <w:sz w:val="24"/>
        </w:rPr>
        <w:t>hours</w:t>
      </w:r>
      <w:r>
        <w:rPr>
          <w:spacing w:val="-3"/>
          <w:sz w:val="24"/>
        </w:rPr>
        <w:t xml:space="preserve"> </w:t>
      </w:r>
      <w:r>
        <w:rPr>
          <w:spacing w:val="-2"/>
          <w:sz w:val="24"/>
        </w:rPr>
        <w:t>generated</w:t>
      </w:r>
    </w:p>
    <w:p w14:paraId="35870037" w14:textId="77777777" w:rsidR="003603EE" w:rsidRDefault="00000000">
      <w:pPr>
        <w:pStyle w:val="ListParagraph"/>
        <w:numPr>
          <w:ilvl w:val="2"/>
          <w:numId w:val="5"/>
        </w:numPr>
        <w:tabs>
          <w:tab w:val="left" w:pos="839"/>
          <w:tab w:val="left" w:pos="840"/>
        </w:tabs>
        <w:spacing w:line="293" w:lineRule="exact"/>
        <w:jc w:val="left"/>
        <w:rPr>
          <w:sz w:val="24"/>
        </w:rPr>
      </w:pPr>
      <w:r>
        <w:rPr>
          <w:sz w:val="24"/>
        </w:rPr>
        <w:t>Sections</w:t>
      </w:r>
      <w:r>
        <w:rPr>
          <w:spacing w:val="-7"/>
          <w:sz w:val="24"/>
        </w:rPr>
        <w:t xml:space="preserve"> </w:t>
      </w:r>
      <w:r>
        <w:rPr>
          <w:spacing w:val="-2"/>
          <w:sz w:val="24"/>
        </w:rPr>
        <w:t>taught</w:t>
      </w:r>
    </w:p>
    <w:p w14:paraId="35870038" w14:textId="77777777" w:rsidR="003603EE" w:rsidRDefault="00000000">
      <w:pPr>
        <w:pStyle w:val="ListParagraph"/>
        <w:numPr>
          <w:ilvl w:val="2"/>
          <w:numId w:val="5"/>
        </w:numPr>
        <w:tabs>
          <w:tab w:val="left" w:pos="839"/>
          <w:tab w:val="left" w:pos="840"/>
        </w:tabs>
        <w:spacing w:line="293" w:lineRule="exact"/>
        <w:jc w:val="left"/>
        <w:rPr>
          <w:sz w:val="24"/>
        </w:rPr>
      </w:pPr>
      <w:r>
        <w:rPr>
          <w:sz w:val="24"/>
        </w:rPr>
        <w:t>Graduate</w:t>
      </w:r>
      <w:r>
        <w:rPr>
          <w:spacing w:val="-9"/>
          <w:sz w:val="24"/>
        </w:rPr>
        <w:t xml:space="preserve"> </w:t>
      </w:r>
      <w:r>
        <w:rPr>
          <w:sz w:val="24"/>
        </w:rPr>
        <w:t>students</w:t>
      </w:r>
      <w:r>
        <w:rPr>
          <w:spacing w:val="-7"/>
          <w:sz w:val="24"/>
        </w:rPr>
        <w:t xml:space="preserve"> </w:t>
      </w:r>
      <w:r>
        <w:rPr>
          <w:spacing w:val="-2"/>
          <w:sz w:val="24"/>
        </w:rPr>
        <w:t>supervised</w:t>
      </w:r>
    </w:p>
    <w:p w14:paraId="35870039" w14:textId="77777777" w:rsidR="003603EE" w:rsidRDefault="00000000">
      <w:pPr>
        <w:pStyle w:val="ListParagraph"/>
        <w:numPr>
          <w:ilvl w:val="2"/>
          <w:numId w:val="5"/>
        </w:numPr>
        <w:tabs>
          <w:tab w:val="left" w:pos="839"/>
          <w:tab w:val="left" w:pos="840"/>
        </w:tabs>
        <w:spacing w:line="293" w:lineRule="exact"/>
        <w:jc w:val="left"/>
        <w:rPr>
          <w:sz w:val="24"/>
        </w:rPr>
      </w:pPr>
      <w:r>
        <w:rPr>
          <w:sz w:val="24"/>
        </w:rPr>
        <w:t>Engaged</w:t>
      </w:r>
      <w:r>
        <w:rPr>
          <w:spacing w:val="-3"/>
          <w:sz w:val="24"/>
        </w:rPr>
        <w:t xml:space="preserve"> </w:t>
      </w:r>
      <w:r>
        <w:rPr>
          <w:sz w:val="24"/>
        </w:rPr>
        <w:t>learning</w:t>
      </w:r>
      <w:r>
        <w:rPr>
          <w:spacing w:val="-5"/>
          <w:sz w:val="24"/>
        </w:rPr>
        <w:t xml:space="preserve"> </w:t>
      </w:r>
      <w:r>
        <w:rPr>
          <w:sz w:val="24"/>
        </w:rPr>
        <w:t>activities</w:t>
      </w:r>
      <w:r>
        <w:rPr>
          <w:spacing w:val="-2"/>
          <w:sz w:val="24"/>
        </w:rPr>
        <w:t xml:space="preserve"> supported</w:t>
      </w:r>
    </w:p>
    <w:p w14:paraId="3587003A" w14:textId="77777777" w:rsidR="003603EE" w:rsidRDefault="003603EE">
      <w:pPr>
        <w:pStyle w:val="BodyText"/>
        <w:spacing w:before="11"/>
        <w:rPr>
          <w:sz w:val="23"/>
        </w:rPr>
      </w:pPr>
    </w:p>
    <w:p w14:paraId="3587003B" w14:textId="77777777" w:rsidR="003603EE" w:rsidRDefault="00000000">
      <w:pPr>
        <w:pStyle w:val="BodyText"/>
        <w:ind w:left="120" w:right="118"/>
        <w:jc w:val="both"/>
      </w:pPr>
      <w:r>
        <w:t xml:space="preserve">These expectations of instructional effort </w:t>
      </w:r>
      <w:proofErr w:type="gramStart"/>
      <w:r>
        <w:t>have to</w:t>
      </w:r>
      <w:proofErr w:type="gramEnd"/>
      <w:r>
        <w:t xml:space="preserve"> be tied to expectations for other activities, particularly research and artistry and engaged learning, but also service to the institution and the profession. The intention is to capture holistically how a unit is fulfilling its mission, and to establish the appropriate level of instructional effort needed to ensure that the overall</w:t>
      </w:r>
      <w:r>
        <w:rPr>
          <w:spacing w:val="40"/>
        </w:rPr>
        <w:t xml:space="preserve"> </w:t>
      </w:r>
      <w:r>
        <w:t>contribution to the university’s mission is commensurate with the (faculty) resources provided. Expectations will be derived from at least two considerations:</w:t>
      </w:r>
    </w:p>
    <w:p w14:paraId="3587003C" w14:textId="77777777" w:rsidR="003603EE" w:rsidRDefault="00000000">
      <w:pPr>
        <w:pStyle w:val="ListParagraph"/>
        <w:numPr>
          <w:ilvl w:val="2"/>
          <w:numId w:val="5"/>
        </w:numPr>
        <w:tabs>
          <w:tab w:val="left" w:pos="840"/>
        </w:tabs>
        <w:ind w:left="839" w:right="117"/>
        <w:rPr>
          <w:sz w:val="24"/>
        </w:rPr>
      </w:pPr>
      <w:r>
        <w:rPr>
          <w:sz w:val="24"/>
        </w:rPr>
        <w:t xml:space="preserve">Comparisons to productivity of disciplinary peers. To do so, a set of indicators will be </w:t>
      </w:r>
      <w:proofErr w:type="gramStart"/>
      <w:r>
        <w:rPr>
          <w:sz w:val="24"/>
        </w:rPr>
        <w:t>identified</w:t>
      </w:r>
      <w:proofErr w:type="gramEnd"/>
      <w:r>
        <w:rPr>
          <w:sz w:val="24"/>
        </w:rPr>
        <w:t xml:space="preserve"> and a set of peer comparators will be identified for each unit. The average of those peers’ values on the various indicators will form the starting point for setting </w:t>
      </w:r>
      <w:r>
        <w:rPr>
          <w:spacing w:val="-2"/>
          <w:sz w:val="24"/>
        </w:rPr>
        <w:t>expectations.</w:t>
      </w:r>
    </w:p>
    <w:p w14:paraId="3587003D" w14:textId="77777777" w:rsidR="003603EE" w:rsidRDefault="00000000">
      <w:pPr>
        <w:pStyle w:val="ListParagraph"/>
        <w:numPr>
          <w:ilvl w:val="2"/>
          <w:numId w:val="5"/>
        </w:numPr>
        <w:tabs>
          <w:tab w:val="left" w:pos="840"/>
        </w:tabs>
        <w:spacing w:before="3" w:line="237" w:lineRule="auto"/>
        <w:ind w:left="839" w:right="117"/>
        <w:rPr>
          <w:sz w:val="24"/>
        </w:rPr>
      </w:pPr>
      <w:r>
        <w:rPr>
          <w:sz w:val="24"/>
        </w:rPr>
        <w:t>Limits on budget, space etc. that constrain the faculty to a given size, independent of the unit’s performance against peers.</w:t>
      </w:r>
    </w:p>
    <w:p w14:paraId="3587003E" w14:textId="77777777" w:rsidR="003603EE" w:rsidRDefault="003603EE">
      <w:pPr>
        <w:pStyle w:val="BodyText"/>
      </w:pPr>
    </w:p>
    <w:p w14:paraId="3587003F" w14:textId="77777777" w:rsidR="003603EE" w:rsidRDefault="00000000">
      <w:pPr>
        <w:pStyle w:val="BodyText"/>
        <w:spacing w:after="9"/>
        <w:ind w:left="119" w:right="113"/>
        <w:jc w:val="both"/>
      </w:pPr>
      <w:r>
        <w:t>The indicators used to set expectations must be measurable and benchmarked against peers</w:t>
      </w:r>
      <w:r>
        <w:rPr>
          <w:spacing w:val="40"/>
        </w:rPr>
        <w:t xml:space="preserve"> </w:t>
      </w:r>
      <w:r>
        <w:t>where data are available, and at the same</w:t>
      </w:r>
      <w:r>
        <w:rPr>
          <w:spacing w:val="-1"/>
        </w:rPr>
        <w:t xml:space="preserve"> </w:t>
      </w:r>
      <w:r>
        <w:t>time</w:t>
      </w:r>
      <w:r>
        <w:rPr>
          <w:spacing w:val="-1"/>
        </w:rPr>
        <w:t xml:space="preserve"> </w:t>
      </w:r>
      <w:r>
        <w:t>must be</w:t>
      </w:r>
      <w:r>
        <w:rPr>
          <w:spacing w:val="-1"/>
        </w:rPr>
        <w:t xml:space="preserve"> </w:t>
      </w:r>
      <w:r>
        <w:t>reasonable approximations to our</w:t>
      </w:r>
      <w:r>
        <w:rPr>
          <w:spacing w:val="-1"/>
        </w:rPr>
        <w:t xml:space="preserve"> </w:t>
      </w:r>
      <w:r>
        <w:t>primary values.</w:t>
      </w:r>
      <w:r>
        <w:rPr>
          <w:spacing w:val="80"/>
        </w:rPr>
        <w:t xml:space="preserve"> </w:t>
      </w:r>
      <w:r>
        <w:t xml:space="preserve">Some indicators will be common across all </w:t>
      </w:r>
      <w:proofErr w:type="gramStart"/>
      <w:r>
        <w:t>units,</w:t>
      </w:r>
      <w:proofErr w:type="gramEnd"/>
      <w:r>
        <w:t xml:space="preserve"> others will be arrived at by</w:t>
      </w:r>
      <w:r>
        <w:rPr>
          <w:spacing w:val="40"/>
        </w:rPr>
        <w:t xml:space="preserve"> </w:t>
      </w:r>
      <w:r>
        <w:t>consultation between the department and college. While some indicators used to set expectations will be common across all units, the level of expectation will vary considerably, e.g. units may have significantly varying levels of grantsmanship or community engagement. The common indicators used to set expectations are:</w:t>
      </w:r>
    </w:p>
    <w:tbl>
      <w:tblPr>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5962"/>
      </w:tblGrid>
      <w:tr w:rsidR="003603EE" w14:paraId="35870046" w14:textId="77777777">
        <w:trPr>
          <w:trHeight w:val="1466"/>
        </w:trPr>
        <w:tc>
          <w:tcPr>
            <w:tcW w:w="1368" w:type="dxa"/>
          </w:tcPr>
          <w:p w14:paraId="35870040" w14:textId="77777777" w:rsidR="003603EE" w:rsidRDefault="00000000">
            <w:pPr>
              <w:pStyle w:val="TableParagraph"/>
              <w:spacing w:line="240" w:lineRule="auto"/>
              <w:ind w:left="107" w:firstLine="0"/>
              <w:rPr>
                <w:sz w:val="24"/>
              </w:rPr>
            </w:pPr>
            <w:r>
              <w:rPr>
                <w:sz w:val="24"/>
              </w:rPr>
              <w:t>Research</w:t>
            </w:r>
            <w:r>
              <w:rPr>
                <w:spacing w:val="-4"/>
                <w:sz w:val="24"/>
              </w:rPr>
              <w:t xml:space="preserve"> </w:t>
            </w:r>
            <w:r>
              <w:rPr>
                <w:sz w:val="24"/>
              </w:rPr>
              <w:t xml:space="preserve">&amp; </w:t>
            </w:r>
            <w:r>
              <w:rPr>
                <w:spacing w:val="-2"/>
                <w:sz w:val="24"/>
              </w:rPr>
              <w:t>Artistry</w:t>
            </w:r>
          </w:p>
        </w:tc>
        <w:tc>
          <w:tcPr>
            <w:tcW w:w="5962" w:type="dxa"/>
          </w:tcPr>
          <w:p w14:paraId="35870041" w14:textId="77777777" w:rsidR="003603EE" w:rsidRDefault="00000000">
            <w:pPr>
              <w:pStyle w:val="TableParagraph"/>
              <w:numPr>
                <w:ilvl w:val="0"/>
                <w:numId w:val="4"/>
              </w:numPr>
              <w:tabs>
                <w:tab w:val="left" w:pos="630"/>
                <w:tab w:val="left" w:pos="631"/>
              </w:tabs>
              <w:spacing w:line="287" w:lineRule="exact"/>
              <w:ind w:hanging="361"/>
              <w:rPr>
                <w:rFonts w:ascii="Symbol" w:hAnsi="Symbol"/>
                <w:sz w:val="24"/>
              </w:rPr>
            </w:pPr>
            <w:r>
              <w:rPr>
                <w:spacing w:val="-2"/>
                <w:sz w:val="24"/>
              </w:rPr>
              <w:t>Publications</w:t>
            </w:r>
          </w:p>
          <w:p w14:paraId="35870042" w14:textId="77777777" w:rsidR="003603EE" w:rsidRDefault="00000000">
            <w:pPr>
              <w:pStyle w:val="TableParagraph"/>
              <w:numPr>
                <w:ilvl w:val="0"/>
                <w:numId w:val="4"/>
              </w:numPr>
              <w:tabs>
                <w:tab w:val="left" w:pos="630"/>
                <w:tab w:val="left" w:pos="631"/>
              </w:tabs>
              <w:ind w:hanging="361"/>
              <w:rPr>
                <w:rFonts w:ascii="Symbol" w:hAnsi="Symbol"/>
                <w:sz w:val="24"/>
              </w:rPr>
            </w:pPr>
            <w:r>
              <w:rPr>
                <w:spacing w:val="-2"/>
                <w:sz w:val="24"/>
              </w:rPr>
              <w:t>Presentations</w:t>
            </w:r>
          </w:p>
          <w:p w14:paraId="35870043" w14:textId="77777777" w:rsidR="003603EE" w:rsidRDefault="00000000">
            <w:pPr>
              <w:pStyle w:val="TableParagraph"/>
              <w:numPr>
                <w:ilvl w:val="0"/>
                <w:numId w:val="4"/>
              </w:numPr>
              <w:tabs>
                <w:tab w:val="left" w:pos="630"/>
                <w:tab w:val="left" w:pos="631"/>
              </w:tabs>
              <w:ind w:hanging="361"/>
              <w:rPr>
                <w:rFonts w:ascii="Symbol" w:hAnsi="Symbol"/>
                <w:sz w:val="24"/>
              </w:rPr>
            </w:pPr>
            <w:r>
              <w:rPr>
                <w:sz w:val="24"/>
              </w:rPr>
              <w:t>Artistic</w:t>
            </w:r>
            <w:r>
              <w:rPr>
                <w:spacing w:val="-8"/>
                <w:sz w:val="24"/>
              </w:rPr>
              <w:t xml:space="preserve"> </w:t>
            </w:r>
            <w:r>
              <w:rPr>
                <w:spacing w:val="-2"/>
                <w:sz w:val="24"/>
              </w:rPr>
              <w:t>Productions</w:t>
            </w:r>
          </w:p>
          <w:p w14:paraId="35870044" w14:textId="77777777" w:rsidR="003603EE" w:rsidRDefault="00000000">
            <w:pPr>
              <w:pStyle w:val="TableParagraph"/>
              <w:numPr>
                <w:ilvl w:val="0"/>
                <w:numId w:val="4"/>
              </w:numPr>
              <w:tabs>
                <w:tab w:val="left" w:pos="630"/>
                <w:tab w:val="left" w:pos="631"/>
              </w:tabs>
              <w:ind w:hanging="361"/>
              <w:rPr>
                <w:rFonts w:ascii="Symbol" w:hAnsi="Symbol"/>
                <w:sz w:val="24"/>
              </w:rPr>
            </w:pPr>
            <w:r>
              <w:rPr>
                <w:sz w:val="24"/>
              </w:rPr>
              <w:t>External</w:t>
            </w:r>
            <w:r>
              <w:rPr>
                <w:spacing w:val="-2"/>
                <w:sz w:val="24"/>
              </w:rPr>
              <w:t xml:space="preserve"> Funding</w:t>
            </w:r>
          </w:p>
          <w:p w14:paraId="35870045" w14:textId="77777777" w:rsidR="003603EE" w:rsidRDefault="00000000">
            <w:pPr>
              <w:pStyle w:val="TableParagraph"/>
              <w:numPr>
                <w:ilvl w:val="0"/>
                <w:numId w:val="4"/>
              </w:numPr>
              <w:tabs>
                <w:tab w:val="left" w:pos="630"/>
                <w:tab w:val="left" w:pos="631"/>
              </w:tabs>
              <w:spacing w:before="1" w:line="279" w:lineRule="exact"/>
              <w:ind w:hanging="361"/>
              <w:rPr>
                <w:rFonts w:ascii="Symbol" w:hAnsi="Symbol"/>
                <w:sz w:val="24"/>
              </w:rPr>
            </w:pPr>
            <w:r>
              <w:rPr>
                <w:spacing w:val="-2"/>
                <w:sz w:val="24"/>
              </w:rPr>
              <w:t>Fellowships</w:t>
            </w:r>
          </w:p>
        </w:tc>
      </w:tr>
      <w:tr w:rsidR="003603EE" w14:paraId="3587004A" w14:textId="77777777">
        <w:trPr>
          <w:trHeight w:val="585"/>
        </w:trPr>
        <w:tc>
          <w:tcPr>
            <w:tcW w:w="1368" w:type="dxa"/>
          </w:tcPr>
          <w:p w14:paraId="35870047" w14:textId="77777777" w:rsidR="003603EE" w:rsidRDefault="00000000">
            <w:pPr>
              <w:pStyle w:val="TableParagraph"/>
              <w:spacing w:line="268" w:lineRule="exact"/>
              <w:ind w:left="107" w:firstLine="0"/>
              <w:rPr>
                <w:sz w:val="24"/>
              </w:rPr>
            </w:pPr>
            <w:r>
              <w:rPr>
                <w:spacing w:val="-2"/>
                <w:sz w:val="24"/>
              </w:rPr>
              <w:t>Education</w:t>
            </w:r>
          </w:p>
        </w:tc>
        <w:tc>
          <w:tcPr>
            <w:tcW w:w="5962" w:type="dxa"/>
          </w:tcPr>
          <w:p w14:paraId="35870048" w14:textId="77777777" w:rsidR="003603EE" w:rsidRDefault="00000000">
            <w:pPr>
              <w:pStyle w:val="TableParagraph"/>
              <w:numPr>
                <w:ilvl w:val="0"/>
                <w:numId w:val="3"/>
              </w:numPr>
              <w:tabs>
                <w:tab w:val="left" w:pos="630"/>
                <w:tab w:val="left" w:pos="631"/>
              </w:tabs>
              <w:spacing w:line="287" w:lineRule="exact"/>
              <w:ind w:hanging="361"/>
              <w:rPr>
                <w:sz w:val="24"/>
              </w:rPr>
            </w:pPr>
            <w:r>
              <w:rPr>
                <w:sz w:val="24"/>
              </w:rPr>
              <w:t>Students</w:t>
            </w:r>
            <w:r>
              <w:rPr>
                <w:spacing w:val="-4"/>
                <w:sz w:val="24"/>
              </w:rPr>
              <w:t xml:space="preserve"> </w:t>
            </w:r>
            <w:r>
              <w:rPr>
                <w:spacing w:val="-2"/>
                <w:sz w:val="24"/>
              </w:rPr>
              <w:t>Graduated</w:t>
            </w:r>
          </w:p>
          <w:p w14:paraId="35870049" w14:textId="77777777" w:rsidR="003603EE" w:rsidRDefault="00000000">
            <w:pPr>
              <w:pStyle w:val="TableParagraph"/>
              <w:numPr>
                <w:ilvl w:val="0"/>
                <w:numId w:val="3"/>
              </w:numPr>
              <w:tabs>
                <w:tab w:val="left" w:pos="630"/>
                <w:tab w:val="left" w:pos="631"/>
              </w:tabs>
              <w:spacing w:line="278" w:lineRule="exact"/>
              <w:ind w:hanging="361"/>
              <w:rPr>
                <w:sz w:val="24"/>
              </w:rPr>
            </w:pPr>
            <w:r>
              <w:rPr>
                <w:sz w:val="24"/>
              </w:rPr>
              <w:t>Degrees</w:t>
            </w:r>
            <w:r>
              <w:rPr>
                <w:spacing w:val="-4"/>
                <w:sz w:val="24"/>
              </w:rPr>
              <w:t xml:space="preserve"> </w:t>
            </w:r>
            <w:r>
              <w:rPr>
                <w:sz w:val="24"/>
              </w:rPr>
              <w:t>conferred</w:t>
            </w:r>
            <w:r>
              <w:rPr>
                <w:spacing w:val="-4"/>
                <w:sz w:val="24"/>
              </w:rPr>
              <w:t xml:space="preserve"> </w:t>
            </w:r>
            <w:r>
              <w:rPr>
                <w:sz w:val="24"/>
              </w:rPr>
              <w:t>per</w:t>
            </w:r>
            <w:r>
              <w:rPr>
                <w:spacing w:val="-4"/>
                <w:sz w:val="24"/>
              </w:rPr>
              <w:t xml:space="preserve"> </w:t>
            </w:r>
            <w:r>
              <w:rPr>
                <w:spacing w:val="-5"/>
                <w:sz w:val="24"/>
              </w:rPr>
              <w:t>SCH</w:t>
            </w:r>
          </w:p>
        </w:tc>
      </w:tr>
    </w:tbl>
    <w:p w14:paraId="3587004B" w14:textId="77777777" w:rsidR="003603EE" w:rsidRDefault="003603EE">
      <w:pPr>
        <w:spacing w:line="278" w:lineRule="exact"/>
        <w:rPr>
          <w:sz w:val="24"/>
        </w:rPr>
        <w:sectPr w:rsidR="003603EE">
          <w:pgSz w:w="12240" w:h="15840"/>
          <w:pgMar w:top="1360" w:right="1320" w:bottom="1200" w:left="1320" w:header="0" w:footer="1017" w:gutter="0"/>
          <w:cols w:space="720"/>
        </w:sectPr>
      </w:pPr>
    </w:p>
    <w:tbl>
      <w:tblPr>
        <w:tblW w:w="0" w:type="auto"/>
        <w:tblInd w:w="1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5962"/>
      </w:tblGrid>
      <w:tr w:rsidR="003603EE" w14:paraId="35870050" w14:textId="77777777">
        <w:trPr>
          <w:trHeight w:val="880"/>
        </w:trPr>
        <w:tc>
          <w:tcPr>
            <w:tcW w:w="1368" w:type="dxa"/>
          </w:tcPr>
          <w:p w14:paraId="3587004C" w14:textId="77777777" w:rsidR="003603EE" w:rsidRDefault="003603EE">
            <w:pPr>
              <w:pStyle w:val="TableParagraph"/>
              <w:spacing w:line="240" w:lineRule="auto"/>
              <w:ind w:left="0" w:firstLine="0"/>
              <w:rPr>
                <w:sz w:val="24"/>
              </w:rPr>
            </w:pPr>
          </w:p>
        </w:tc>
        <w:tc>
          <w:tcPr>
            <w:tcW w:w="5962" w:type="dxa"/>
          </w:tcPr>
          <w:p w14:paraId="3587004D" w14:textId="77777777" w:rsidR="003603EE" w:rsidRDefault="00000000">
            <w:pPr>
              <w:pStyle w:val="TableParagraph"/>
              <w:numPr>
                <w:ilvl w:val="0"/>
                <w:numId w:val="2"/>
              </w:numPr>
              <w:tabs>
                <w:tab w:val="left" w:pos="630"/>
                <w:tab w:val="left" w:pos="631"/>
              </w:tabs>
              <w:spacing w:line="287" w:lineRule="exact"/>
              <w:ind w:hanging="361"/>
              <w:rPr>
                <w:sz w:val="24"/>
              </w:rPr>
            </w:pPr>
            <w:r>
              <w:rPr>
                <w:sz w:val="24"/>
              </w:rPr>
              <w:t>Student</w:t>
            </w:r>
            <w:r>
              <w:rPr>
                <w:spacing w:val="-5"/>
                <w:sz w:val="24"/>
              </w:rPr>
              <w:t xml:space="preserve"> </w:t>
            </w:r>
            <w:r>
              <w:rPr>
                <w:sz w:val="24"/>
              </w:rPr>
              <w:t>Credit</w:t>
            </w:r>
            <w:r>
              <w:rPr>
                <w:spacing w:val="-4"/>
                <w:sz w:val="24"/>
              </w:rPr>
              <w:t xml:space="preserve"> </w:t>
            </w:r>
            <w:r>
              <w:rPr>
                <w:sz w:val="24"/>
              </w:rPr>
              <w:t>Hours</w:t>
            </w:r>
            <w:r>
              <w:rPr>
                <w:spacing w:val="-4"/>
                <w:sz w:val="24"/>
              </w:rPr>
              <w:t xml:space="preserve"> </w:t>
            </w:r>
            <w:r>
              <w:rPr>
                <w:spacing w:val="-2"/>
                <w:sz w:val="24"/>
              </w:rPr>
              <w:t>Generated</w:t>
            </w:r>
          </w:p>
          <w:p w14:paraId="3587004E" w14:textId="77777777" w:rsidR="003603EE" w:rsidRDefault="00000000">
            <w:pPr>
              <w:pStyle w:val="TableParagraph"/>
              <w:numPr>
                <w:ilvl w:val="0"/>
                <w:numId w:val="2"/>
              </w:numPr>
              <w:tabs>
                <w:tab w:val="left" w:pos="630"/>
                <w:tab w:val="left" w:pos="631"/>
              </w:tabs>
              <w:ind w:hanging="361"/>
              <w:rPr>
                <w:sz w:val="24"/>
              </w:rPr>
            </w:pPr>
            <w:r>
              <w:rPr>
                <w:sz w:val="24"/>
              </w:rPr>
              <w:t>Sections</w:t>
            </w:r>
            <w:r>
              <w:rPr>
                <w:spacing w:val="-5"/>
                <w:sz w:val="24"/>
              </w:rPr>
              <w:t xml:space="preserve"> </w:t>
            </w:r>
            <w:r>
              <w:rPr>
                <w:spacing w:val="-2"/>
                <w:sz w:val="24"/>
              </w:rPr>
              <w:t>Taught</w:t>
            </w:r>
          </w:p>
          <w:p w14:paraId="3587004F" w14:textId="77777777" w:rsidR="003603EE" w:rsidRDefault="00000000">
            <w:pPr>
              <w:pStyle w:val="TableParagraph"/>
              <w:numPr>
                <w:ilvl w:val="0"/>
                <w:numId w:val="2"/>
              </w:numPr>
              <w:tabs>
                <w:tab w:val="left" w:pos="630"/>
                <w:tab w:val="left" w:pos="631"/>
              </w:tabs>
              <w:spacing w:before="1" w:line="279" w:lineRule="exact"/>
              <w:ind w:hanging="361"/>
              <w:rPr>
                <w:sz w:val="24"/>
              </w:rPr>
            </w:pPr>
            <w:r>
              <w:rPr>
                <w:sz w:val="24"/>
              </w:rPr>
              <w:t>Student</w:t>
            </w:r>
            <w:r>
              <w:rPr>
                <w:spacing w:val="-3"/>
                <w:sz w:val="24"/>
              </w:rPr>
              <w:t xml:space="preserve"> </w:t>
            </w:r>
            <w:r>
              <w:rPr>
                <w:sz w:val="24"/>
              </w:rPr>
              <w:t>Participation</w:t>
            </w:r>
            <w:r>
              <w:rPr>
                <w:spacing w:val="-3"/>
                <w:sz w:val="24"/>
              </w:rPr>
              <w:t xml:space="preserve"> </w:t>
            </w:r>
            <w:r>
              <w:rPr>
                <w:sz w:val="24"/>
              </w:rPr>
              <w:t>in</w:t>
            </w:r>
            <w:r>
              <w:rPr>
                <w:spacing w:val="-6"/>
                <w:sz w:val="24"/>
              </w:rPr>
              <w:t xml:space="preserve"> </w:t>
            </w:r>
            <w:r>
              <w:rPr>
                <w:sz w:val="24"/>
              </w:rPr>
              <w:t>Engaged</w:t>
            </w:r>
            <w:r>
              <w:rPr>
                <w:spacing w:val="-1"/>
                <w:sz w:val="24"/>
              </w:rPr>
              <w:t xml:space="preserve"> </w:t>
            </w:r>
            <w:r>
              <w:rPr>
                <w:spacing w:val="-2"/>
                <w:sz w:val="24"/>
              </w:rPr>
              <w:t>Learning</w:t>
            </w:r>
          </w:p>
        </w:tc>
      </w:tr>
      <w:tr w:rsidR="003603EE" w14:paraId="35870056" w14:textId="77777777">
        <w:trPr>
          <w:trHeight w:val="1449"/>
        </w:trPr>
        <w:tc>
          <w:tcPr>
            <w:tcW w:w="1368" w:type="dxa"/>
          </w:tcPr>
          <w:p w14:paraId="35870051" w14:textId="77777777" w:rsidR="003603EE" w:rsidRDefault="00000000">
            <w:pPr>
              <w:pStyle w:val="TableParagraph"/>
              <w:spacing w:line="268" w:lineRule="exact"/>
              <w:ind w:left="107" w:firstLine="0"/>
              <w:rPr>
                <w:sz w:val="24"/>
              </w:rPr>
            </w:pPr>
            <w:r>
              <w:rPr>
                <w:spacing w:val="-2"/>
                <w:sz w:val="24"/>
              </w:rPr>
              <w:t>Service</w:t>
            </w:r>
          </w:p>
        </w:tc>
        <w:tc>
          <w:tcPr>
            <w:tcW w:w="5962" w:type="dxa"/>
          </w:tcPr>
          <w:p w14:paraId="35870052" w14:textId="77777777" w:rsidR="003603EE" w:rsidRDefault="00000000">
            <w:pPr>
              <w:pStyle w:val="TableParagraph"/>
              <w:numPr>
                <w:ilvl w:val="0"/>
                <w:numId w:val="1"/>
              </w:numPr>
              <w:tabs>
                <w:tab w:val="left" w:pos="630"/>
                <w:tab w:val="left" w:pos="631"/>
              </w:tabs>
              <w:spacing w:line="237" w:lineRule="auto"/>
              <w:ind w:left="630" w:right="718"/>
              <w:rPr>
                <w:sz w:val="24"/>
              </w:rPr>
            </w:pPr>
            <w:r>
              <w:rPr>
                <w:sz w:val="24"/>
              </w:rPr>
              <w:t>Participation</w:t>
            </w:r>
            <w:r>
              <w:rPr>
                <w:spacing w:val="-9"/>
                <w:sz w:val="24"/>
              </w:rPr>
              <w:t xml:space="preserve"> </w:t>
            </w:r>
            <w:r>
              <w:rPr>
                <w:sz w:val="24"/>
              </w:rPr>
              <w:t>in</w:t>
            </w:r>
            <w:r>
              <w:rPr>
                <w:spacing w:val="-9"/>
                <w:sz w:val="24"/>
              </w:rPr>
              <w:t xml:space="preserve"> </w:t>
            </w:r>
            <w:r>
              <w:rPr>
                <w:sz w:val="24"/>
              </w:rPr>
              <w:t>Governance</w:t>
            </w:r>
            <w:r>
              <w:rPr>
                <w:spacing w:val="-10"/>
                <w:sz w:val="24"/>
              </w:rPr>
              <w:t xml:space="preserve"> </w:t>
            </w:r>
            <w:r>
              <w:rPr>
                <w:sz w:val="24"/>
              </w:rPr>
              <w:t>of</w:t>
            </w:r>
            <w:r>
              <w:rPr>
                <w:spacing w:val="-8"/>
                <w:sz w:val="24"/>
              </w:rPr>
              <w:t xml:space="preserve"> </w:t>
            </w:r>
            <w:r>
              <w:rPr>
                <w:sz w:val="24"/>
              </w:rPr>
              <w:t>Interdisciplinary Units, the College, or the University</w:t>
            </w:r>
          </w:p>
          <w:p w14:paraId="35870053" w14:textId="77777777" w:rsidR="003603EE" w:rsidRDefault="00000000">
            <w:pPr>
              <w:pStyle w:val="TableParagraph"/>
              <w:numPr>
                <w:ilvl w:val="0"/>
                <w:numId w:val="1"/>
              </w:numPr>
              <w:tabs>
                <w:tab w:val="left" w:pos="630"/>
                <w:tab w:val="left" w:pos="631"/>
              </w:tabs>
              <w:ind w:hanging="361"/>
              <w:rPr>
                <w:sz w:val="24"/>
              </w:rPr>
            </w:pPr>
            <w:r>
              <w:rPr>
                <w:sz w:val="24"/>
              </w:rPr>
              <w:t>Participation</w:t>
            </w:r>
            <w:r>
              <w:rPr>
                <w:spacing w:val="-7"/>
                <w:sz w:val="24"/>
              </w:rPr>
              <w:t xml:space="preserve"> </w:t>
            </w:r>
            <w:r>
              <w:rPr>
                <w:sz w:val="24"/>
              </w:rPr>
              <w:t>in</w:t>
            </w:r>
            <w:r>
              <w:rPr>
                <w:spacing w:val="-7"/>
                <w:sz w:val="24"/>
              </w:rPr>
              <w:t xml:space="preserve"> </w:t>
            </w:r>
            <w:r>
              <w:rPr>
                <w:sz w:val="24"/>
              </w:rPr>
              <w:t>Unit-Level</w:t>
            </w:r>
            <w:r>
              <w:rPr>
                <w:spacing w:val="-7"/>
                <w:sz w:val="24"/>
              </w:rPr>
              <w:t xml:space="preserve"> </w:t>
            </w:r>
            <w:r>
              <w:rPr>
                <w:sz w:val="24"/>
              </w:rPr>
              <w:t>Administrative</w:t>
            </w:r>
            <w:r>
              <w:rPr>
                <w:spacing w:val="-8"/>
                <w:sz w:val="24"/>
              </w:rPr>
              <w:t xml:space="preserve"> </w:t>
            </w:r>
            <w:r>
              <w:rPr>
                <w:spacing w:val="-2"/>
                <w:sz w:val="24"/>
              </w:rPr>
              <w:t>Activities</w:t>
            </w:r>
          </w:p>
          <w:p w14:paraId="35870054" w14:textId="77777777" w:rsidR="003603EE" w:rsidRDefault="00000000">
            <w:pPr>
              <w:pStyle w:val="TableParagraph"/>
              <w:numPr>
                <w:ilvl w:val="0"/>
                <w:numId w:val="1"/>
              </w:numPr>
              <w:tabs>
                <w:tab w:val="left" w:pos="630"/>
                <w:tab w:val="left" w:pos="631"/>
              </w:tabs>
              <w:ind w:hanging="361"/>
              <w:rPr>
                <w:sz w:val="24"/>
              </w:rPr>
            </w:pPr>
            <w:r>
              <w:rPr>
                <w:sz w:val="24"/>
              </w:rPr>
              <w:t>Participation</w:t>
            </w:r>
            <w:r>
              <w:rPr>
                <w:spacing w:val="-4"/>
                <w:sz w:val="24"/>
              </w:rPr>
              <w:t xml:space="preserve"> </w:t>
            </w:r>
            <w:r>
              <w:rPr>
                <w:sz w:val="24"/>
              </w:rPr>
              <w:t>in</w:t>
            </w:r>
            <w:r>
              <w:rPr>
                <w:spacing w:val="-4"/>
                <w:sz w:val="24"/>
              </w:rPr>
              <w:t xml:space="preserve"> </w:t>
            </w:r>
            <w:r>
              <w:rPr>
                <w:sz w:val="24"/>
              </w:rPr>
              <w:t>Professional</w:t>
            </w:r>
            <w:r>
              <w:rPr>
                <w:spacing w:val="-4"/>
                <w:sz w:val="24"/>
              </w:rPr>
              <w:t xml:space="preserve"> </w:t>
            </w:r>
            <w:r>
              <w:rPr>
                <w:sz w:val="24"/>
              </w:rPr>
              <w:t>Community</w:t>
            </w:r>
            <w:r>
              <w:rPr>
                <w:spacing w:val="-11"/>
                <w:sz w:val="24"/>
              </w:rPr>
              <w:t xml:space="preserve"> </w:t>
            </w:r>
            <w:r>
              <w:rPr>
                <w:spacing w:val="-2"/>
                <w:sz w:val="24"/>
              </w:rPr>
              <w:t>Engagement</w:t>
            </w:r>
          </w:p>
          <w:p w14:paraId="35870055" w14:textId="77777777" w:rsidR="003603EE" w:rsidRDefault="00000000">
            <w:pPr>
              <w:pStyle w:val="TableParagraph"/>
              <w:numPr>
                <w:ilvl w:val="0"/>
                <w:numId w:val="1"/>
              </w:numPr>
              <w:tabs>
                <w:tab w:val="left" w:pos="630"/>
                <w:tab w:val="left" w:pos="631"/>
              </w:tabs>
              <w:spacing w:line="280" w:lineRule="exact"/>
              <w:ind w:hanging="361"/>
              <w:rPr>
                <w:sz w:val="24"/>
              </w:rPr>
            </w:pPr>
            <w:r>
              <w:rPr>
                <w:sz w:val="24"/>
              </w:rPr>
              <w:t>Service</w:t>
            </w:r>
            <w:r>
              <w:rPr>
                <w:spacing w:val="-7"/>
                <w:sz w:val="24"/>
              </w:rPr>
              <w:t xml:space="preserve"> </w:t>
            </w:r>
            <w:r>
              <w:rPr>
                <w:sz w:val="24"/>
              </w:rPr>
              <w:t>in</w:t>
            </w:r>
            <w:r>
              <w:rPr>
                <w:spacing w:val="-5"/>
                <w:sz w:val="24"/>
              </w:rPr>
              <w:t xml:space="preserve"> </w:t>
            </w:r>
            <w:r>
              <w:rPr>
                <w:sz w:val="24"/>
              </w:rPr>
              <w:t>Professional</w:t>
            </w:r>
            <w:r>
              <w:rPr>
                <w:spacing w:val="-5"/>
                <w:sz w:val="24"/>
              </w:rPr>
              <w:t xml:space="preserve"> </w:t>
            </w:r>
            <w:r>
              <w:rPr>
                <w:spacing w:val="-2"/>
                <w:sz w:val="24"/>
              </w:rPr>
              <w:t>Organizations</w:t>
            </w:r>
          </w:p>
        </w:tc>
      </w:tr>
    </w:tbl>
    <w:p w14:paraId="35870057" w14:textId="77777777" w:rsidR="003603EE" w:rsidRDefault="003603EE">
      <w:pPr>
        <w:pStyle w:val="BodyText"/>
        <w:spacing w:before="7"/>
        <w:rPr>
          <w:sz w:val="17"/>
        </w:rPr>
      </w:pPr>
    </w:p>
    <w:p w14:paraId="35870058" w14:textId="77777777" w:rsidR="003603EE" w:rsidRPr="006A4719" w:rsidRDefault="00000000">
      <w:pPr>
        <w:pStyle w:val="Heading1"/>
        <w:numPr>
          <w:ilvl w:val="1"/>
          <w:numId w:val="5"/>
        </w:numPr>
        <w:tabs>
          <w:tab w:val="left" w:pos="492"/>
        </w:tabs>
        <w:spacing w:before="90"/>
        <w:ind w:left="492" w:hanging="281"/>
        <w:jc w:val="both"/>
        <w:rPr>
          <w:rStyle w:val="Strong"/>
          <w:b/>
          <w:bCs/>
        </w:rPr>
      </w:pPr>
      <w:r w:rsidRPr="006A4719">
        <w:rPr>
          <w:rStyle w:val="Strong"/>
          <w:b/>
          <w:bCs/>
        </w:rPr>
        <w:t>Individual Expectations</w:t>
      </w:r>
    </w:p>
    <w:p w14:paraId="35870059" w14:textId="77777777" w:rsidR="003603EE" w:rsidRDefault="00000000">
      <w:pPr>
        <w:pStyle w:val="BodyText"/>
        <w:ind w:left="120" w:right="120"/>
        <w:jc w:val="both"/>
      </w:pPr>
      <w:r>
        <w:t>It is anticipated that units will establish their own procedures for determining workload expectations for individual faculty members.</w:t>
      </w:r>
      <w:r>
        <w:rPr>
          <w:spacing w:val="40"/>
        </w:rPr>
        <w:t xml:space="preserve"> </w:t>
      </w:r>
      <w:r>
        <w:t xml:space="preserve">In doing so, the following conditions should be </w:t>
      </w:r>
      <w:r>
        <w:rPr>
          <w:spacing w:val="-2"/>
        </w:rPr>
        <w:t>observed:</w:t>
      </w:r>
    </w:p>
    <w:p w14:paraId="3587005A" w14:textId="77777777" w:rsidR="003603EE" w:rsidRDefault="003603EE">
      <w:pPr>
        <w:pStyle w:val="BodyText"/>
        <w:spacing w:before="2"/>
      </w:pPr>
    </w:p>
    <w:p w14:paraId="3587005B" w14:textId="77777777" w:rsidR="003603EE" w:rsidRDefault="00000000">
      <w:pPr>
        <w:pStyle w:val="ListParagraph"/>
        <w:numPr>
          <w:ilvl w:val="2"/>
          <w:numId w:val="5"/>
        </w:numPr>
        <w:tabs>
          <w:tab w:val="left" w:pos="840"/>
        </w:tabs>
        <w:spacing w:line="237" w:lineRule="auto"/>
        <w:ind w:right="119"/>
        <w:rPr>
          <w:sz w:val="24"/>
        </w:rPr>
      </w:pPr>
      <w:r>
        <w:rPr>
          <w:sz w:val="24"/>
        </w:rPr>
        <w:t>Procedures for establishing individual workload should be incorporated in the unit governance documents and are subject to approval by College Council.</w:t>
      </w:r>
    </w:p>
    <w:p w14:paraId="3587005C" w14:textId="77777777" w:rsidR="003603EE" w:rsidRDefault="00000000">
      <w:pPr>
        <w:pStyle w:val="ListParagraph"/>
        <w:numPr>
          <w:ilvl w:val="2"/>
          <w:numId w:val="5"/>
        </w:numPr>
        <w:tabs>
          <w:tab w:val="left" w:pos="840"/>
        </w:tabs>
        <w:spacing w:before="2"/>
        <w:ind w:right="118"/>
        <w:rPr>
          <w:sz w:val="24"/>
        </w:rPr>
      </w:pPr>
      <w:r>
        <w:rPr>
          <w:sz w:val="24"/>
        </w:rPr>
        <w:t>The responsibility for establishing individual workload expectations rests with the chair or director.</w:t>
      </w:r>
      <w:r>
        <w:rPr>
          <w:spacing w:val="40"/>
          <w:sz w:val="24"/>
        </w:rPr>
        <w:t xml:space="preserve"> </w:t>
      </w:r>
      <w:r>
        <w:rPr>
          <w:sz w:val="24"/>
        </w:rPr>
        <w:t>The chair/director is expected to involve some form of faculty consultation (e.g. consultation with the unit’s personnel committee or executive committee before finalizing workload assignments) in this process.</w:t>
      </w:r>
    </w:p>
    <w:p w14:paraId="3587005D" w14:textId="77777777" w:rsidR="003603EE" w:rsidRDefault="00000000">
      <w:pPr>
        <w:pStyle w:val="ListParagraph"/>
        <w:numPr>
          <w:ilvl w:val="2"/>
          <w:numId w:val="5"/>
        </w:numPr>
        <w:tabs>
          <w:tab w:val="left" w:pos="840"/>
        </w:tabs>
        <w:ind w:right="113"/>
        <w:rPr>
          <w:sz w:val="24"/>
        </w:rPr>
      </w:pPr>
      <w:r>
        <w:rPr>
          <w:sz w:val="24"/>
        </w:rPr>
        <w:t>The expectation of consultation applies only to the setting of overall workload levels for individuals, and not to specific assignments (e.g. to the determination of how many courses a faculty member will teach, but not to the determination of what those courses will be).</w:t>
      </w:r>
      <w:r>
        <w:rPr>
          <w:spacing w:val="40"/>
          <w:sz w:val="24"/>
        </w:rPr>
        <w:t xml:space="preserve"> </w:t>
      </w:r>
      <w:r>
        <w:rPr>
          <w:sz w:val="24"/>
        </w:rPr>
        <w:t>Unit chairs and directors will make final individual course workload assignments in the context of unit-level expectations described above in II.A.</w:t>
      </w:r>
    </w:p>
    <w:p w14:paraId="3587005E" w14:textId="77777777" w:rsidR="003603EE" w:rsidRDefault="00000000">
      <w:pPr>
        <w:pStyle w:val="ListParagraph"/>
        <w:numPr>
          <w:ilvl w:val="2"/>
          <w:numId w:val="5"/>
        </w:numPr>
        <w:tabs>
          <w:tab w:val="left" w:pos="840"/>
        </w:tabs>
        <w:spacing w:line="237" w:lineRule="auto"/>
        <w:ind w:right="117"/>
        <w:rPr>
          <w:sz w:val="24"/>
        </w:rPr>
      </w:pPr>
      <w:r>
        <w:rPr>
          <w:sz w:val="24"/>
        </w:rPr>
        <w:t>In the first year of implementation, workload levels will be established for all faculty in the unit.</w:t>
      </w:r>
    </w:p>
    <w:p w14:paraId="3587005F" w14:textId="77777777" w:rsidR="003603EE" w:rsidRDefault="00000000">
      <w:pPr>
        <w:pStyle w:val="ListParagraph"/>
        <w:numPr>
          <w:ilvl w:val="2"/>
          <w:numId w:val="5"/>
        </w:numPr>
        <w:tabs>
          <w:tab w:val="left" w:pos="840"/>
        </w:tabs>
        <w:spacing w:before="3"/>
        <w:ind w:right="115"/>
        <w:rPr>
          <w:sz w:val="24"/>
        </w:rPr>
      </w:pPr>
      <w:r>
        <w:rPr>
          <w:sz w:val="24"/>
        </w:rPr>
        <w:t>Unit workload policies should establish how often an individual faculty member’s workload assignment is reviewed and (if appropriate) revised.</w:t>
      </w:r>
      <w:r>
        <w:rPr>
          <w:spacing w:val="40"/>
          <w:sz w:val="24"/>
        </w:rPr>
        <w:t xml:space="preserve"> </w:t>
      </w:r>
      <w:r>
        <w:rPr>
          <w:sz w:val="24"/>
        </w:rPr>
        <w:t>Workload levels will be reviewed annually for untenured faculty.</w:t>
      </w:r>
      <w:r>
        <w:rPr>
          <w:spacing w:val="40"/>
          <w:sz w:val="24"/>
        </w:rPr>
        <w:t xml:space="preserve"> </w:t>
      </w:r>
      <w:r>
        <w:rPr>
          <w:sz w:val="24"/>
        </w:rPr>
        <w:t>Workload levels for tenured faculty will be reviewed at least every three to five years, or more frequently if needed to meet overall unit-level expectations.</w:t>
      </w:r>
    </w:p>
    <w:p w14:paraId="35870060" w14:textId="77777777" w:rsidR="003603EE" w:rsidRDefault="00000000">
      <w:pPr>
        <w:pStyle w:val="ListParagraph"/>
        <w:numPr>
          <w:ilvl w:val="2"/>
          <w:numId w:val="5"/>
        </w:numPr>
        <w:tabs>
          <w:tab w:val="left" w:pos="840"/>
        </w:tabs>
        <w:ind w:right="115"/>
        <w:rPr>
          <w:sz w:val="24"/>
        </w:rPr>
      </w:pPr>
      <w:r>
        <w:rPr>
          <w:sz w:val="24"/>
        </w:rPr>
        <w:t xml:space="preserve">It is expected that, for all but new faculty, the setting of workload expectations will be informed by the previous contributions of the faculty </w:t>
      </w:r>
      <w:proofErr w:type="gramStart"/>
      <w:r>
        <w:rPr>
          <w:sz w:val="24"/>
        </w:rPr>
        <w:t>member</w:t>
      </w:r>
      <w:proofErr w:type="gramEnd"/>
      <w:r>
        <w:rPr>
          <w:sz w:val="24"/>
        </w:rPr>
        <w:t>.</w:t>
      </w:r>
      <w:r>
        <w:rPr>
          <w:spacing w:val="40"/>
          <w:sz w:val="24"/>
        </w:rPr>
        <w:t xml:space="preserve"> </w:t>
      </w:r>
      <w:r>
        <w:rPr>
          <w:sz w:val="24"/>
        </w:rPr>
        <w:t>Unit workload policies should establish the “window” of previous activity to be considered.</w:t>
      </w:r>
      <w:r>
        <w:rPr>
          <w:spacing w:val="40"/>
          <w:sz w:val="24"/>
        </w:rPr>
        <w:t xml:space="preserve"> </w:t>
      </w:r>
      <w:r>
        <w:rPr>
          <w:sz w:val="24"/>
        </w:rPr>
        <w:t>The College recommends</w:t>
      </w:r>
      <w:r>
        <w:rPr>
          <w:spacing w:val="-1"/>
          <w:sz w:val="24"/>
        </w:rPr>
        <w:t xml:space="preserve"> </w:t>
      </w:r>
      <w:r>
        <w:rPr>
          <w:sz w:val="24"/>
        </w:rPr>
        <w:t>a</w:t>
      </w:r>
      <w:r>
        <w:rPr>
          <w:spacing w:val="-2"/>
          <w:sz w:val="24"/>
        </w:rPr>
        <w:t xml:space="preserve"> </w:t>
      </w:r>
      <w:proofErr w:type="gramStart"/>
      <w:r>
        <w:rPr>
          <w:sz w:val="24"/>
        </w:rPr>
        <w:t>three</w:t>
      </w:r>
      <w:r>
        <w:rPr>
          <w:spacing w:val="-2"/>
          <w:sz w:val="24"/>
        </w:rPr>
        <w:t xml:space="preserve"> </w:t>
      </w:r>
      <w:r>
        <w:rPr>
          <w:sz w:val="24"/>
        </w:rPr>
        <w:t>to</w:t>
      </w:r>
      <w:proofErr w:type="gramEnd"/>
      <w:r>
        <w:rPr>
          <w:spacing w:val="-1"/>
          <w:sz w:val="24"/>
        </w:rPr>
        <w:t xml:space="preserve"> </w:t>
      </w:r>
      <w:r>
        <w:rPr>
          <w:sz w:val="24"/>
        </w:rPr>
        <w:t>five-year</w:t>
      </w:r>
      <w:r>
        <w:rPr>
          <w:spacing w:val="-2"/>
          <w:sz w:val="24"/>
        </w:rPr>
        <w:t xml:space="preserve"> </w:t>
      </w:r>
      <w:r>
        <w:rPr>
          <w:sz w:val="24"/>
        </w:rPr>
        <w:t>window</w:t>
      </w:r>
      <w:r>
        <w:rPr>
          <w:spacing w:val="-2"/>
          <w:sz w:val="24"/>
        </w:rPr>
        <w:t xml:space="preserve"> </w:t>
      </w:r>
      <w:r>
        <w:rPr>
          <w:sz w:val="24"/>
        </w:rPr>
        <w:t>for</w:t>
      </w:r>
      <w:r>
        <w:rPr>
          <w:spacing w:val="-2"/>
          <w:sz w:val="24"/>
        </w:rPr>
        <w:t xml:space="preserve"> </w:t>
      </w:r>
      <w:r>
        <w:rPr>
          <w:sz w:val="24"/>
        </w:rPr>
        <w:t>all</w:t>
      </w:r>
      <w:r>
        <w:rPr>
          <w:spacing w:val="-1"/>
          <w:sz w:val="24"/>
        </w:rPr>
        <w:t xml:space="preserve"> </w:t>
      </w:r>
      <w:r>
        <w:rPr>
          <w:sz w:val="24"/>
        </w:rPr>
        <w:t>faculty</w:t>
      </w:r>
      <w:r>
        <w:rPr>
          <w:spacing w:val="-5"/>
          <w:sz w:val="24"/>
        </w:rPr>
        <w:t xml:space="preserve"> </w:t>
      </w:r>
      <w:r>
        <w:rPr>
          <w:sz w:val="24"/>
        </w:rPr>
        <w:t>who</w:t>
      </w:r>
      <w:r>
        <w:rPr>
          <w:spacing w:val="-1"/>
          <w:sz w:val="24"/>
        </w:rPr>
        <w:t xml:space="preserve"> </w:t>
      </w:r>
      <w:r>
        <w:rPr>
          <w:sz w:val="24"/>
        </w:rPr>
        <w:t>served</w:t>
      </w:r>
      <w:r>
        <w:rPr>
          <w:spacing w:val="-1"/>
          <w:sz w:val="24"/>
        </w:rPr>
        <w:t xml:space="preserve"> </w:t>
      </w:r>
      <w:r>
        <w:rPr>
          <w:sz w:val="24"/>
        </w:rPr>
        <w:t>the</w:t>
      </w:r>
      <w:r>
        <w:rPr>
          <w:spacing w:val="-2"/>
          <w:sz w:val="24"/>
        </w:rPr>
        <w:t xml:space="preserve"> </w:t>
      </w:r>
      <w:r>
        <w:rPr>
          <w:sz w:val="24"/>
        </w:rPr>
        <w:t>unit for</w:t>
      </w:r>
      <w:r>
        <w:rPr>
          <w:spacing w:val="-2"/>
          <w:sz w:val="24"/>
        </w:rPr>
        <w:t xml:space="preserve"> </w:t>
      </w:r>
      <w:r>
        <w:rPr>
          <w:sz w:val="24"/>
        </w:rPr>
        <w:t>the</w:t>
      </w:r>
      <w:r>
        <w:rPr>
          <w:spacing w:val="-2"/>
          <w:sz w:val="24"/>
        </w:rPr>
        <w:t xml:space="preserve"> </w:t>
      </w:r>
      <w:r>
        <w:rPr>
          <w:sz w:val="24"/>
        </w:rPr>
        <w:t xml:space="preserve">period </w:t>
      </w:r>
      <w:r>
        <w:rPr>
          <w:spacing w:val="-2"/>
          <w:sz w:val="24"/>
        </w:rPr>
        <w:t>chosen.</w:t>
      </w:r>
    </w:p>
    <w:p w14:paraId="35870061" w14:textId="77777777" w:rsidR="003603EE" w:rsidRDefault="00000000">
      <w:pPr>
        <w:pStyle w:val="ListParagraph"/>
        <w:numPr>
          <w:ilvl w:val="2"/>
          <w:numId w:val="5"/>
        </w:numPr>
        <w:tabs>
          <w:tab w:val="left" w:pos="840"/>
        </w:tabs>
        <w:ind w:right="120"/>
        <w:rPr>
          <w:sz w:val="24"/>
        </w:rPr>
      </w:pPr>
      <w:r>
        <w:rPr>
          <w:sz w:val="24"/>
        </w:rPr>
        <w:t>In addition to the established workload review cycle, units are also expected to provide individual</w:t>
      </w:r>
      <w:r>
        <w:rPr>
          <w:spacing w:val="-2"/>
          <w:sz w:val="24"/>
        </w:rPr>
        <w:t xml:space="preserve"> </w:t>
      </w:r>
      <w:r>
        <w:rPr>
          <w:sz w:val="24"/>
        </w:rPr>
        <w:t>faculty</w:t>
      </w:r>
      <w:r>
        <w:rPr>
          <w:spacing w:val="-6"/>
          <w:sz w:val="24"/>
        </w:rPr>
        <w:t xml:space="preserve"> </w:t>
      </w:r>
      <w:r>
        <w:rPr>
          <w:sz w:val="24"/>
        </w:rPr>
        <w:t>members</w:t>
      </w:r>
      <w:r>
        <w:rPr>
          <w:spacing w:val="-2"/>
          <w:sz w:val="24"/>
        </w:rPr>
        <w:t xml:space="preserve"> </w:t>
      </w:r>
      <w:r>
        <w:rPr>
          <w:sz w:val="24"/>
        </w:rPr>
        <w:t>with</w:t>
      </w:r>
      <w:r>
        <w:rPr>
          <w:spacing w:val="-2"/>
          <w:sz w:val="24"/>
        </w:rPr>
        <w:t xml:space="preserve"> </w:t>
      </w:r>
      <w:r>
        <w:rPr>
          <w:sz w:val="24"/>
        </w:rPr>
        <w:t>a</w:t>
      </w:r>
      <w:r>
        <w:rPr>
          <w:spacing w:val="-3"/>
          <w:sz w:val="24"/>
        </w:rPr>
        <w:t xml:space="preserve"> </w:t>
      </w:r>
      <w:r>
        <w:rPr>
          <w:sz w:val="24"/>
        </w:rPr>
        <w:t>mechanism</w:t>
      </w:r>
      <w:r>
        <w:rPr>
          <w:spacing w:val="-2"/>
          <w:sz w:val="24"/>
        </w:rPr>
        <w:t xml:space="preserve"> </w:t>
      </w:r>
      <w:r>
        <w:rPr>
          <w:sz w:val="24"/>
        </w:rPr>
        <w:t>to</w:t>
      </w:r>
      <w:r>
        <w:rPr>
          <w:spacing w:val="-2"/>
          <w:sz w:val="24"/>
        </w:rPr>
        <w:t xml:space="preserve"> </w:t>
      </w:r>
      <w:r>
        <w:rPr>
          <w:sz w:val="24"/>
        </w:rPr>
        <w:t>request</w:t>
      </w:r>
      <w:r>
        <w:rPr>
          <w:spacing w:val="-2"/>
          <w:sz w:val="24"/>
        </w:rPr>
        <w:t xml:space="preserve"> </w:t>
      </w:r>
      <w:r>
        <w:rPr>
          <w:sz w:val="24"/>
        </w:rPr>
        <w:t>an adjustment</w:t>
      </w:r>
      <w:r>
        <w:rPr>
          <w:spacing w:val="-2"/>
          <w:sz w:val="24"/>
        </w:rPr>
        <w:t xml:space="preserve"> </w:t>
      </w:r>
      <w:r>
        <w:rPr>
          <w:sz w:val="24"/>
        </w:rPr>
        <w:t>to</w:t>
      </w:r>
      <w:r>
        <w:rPr>
          <w:spacing w:val="-2"/>
          <w:sz w:val="24"/>
        </w:rPr>
        <w:t xml:space="preserve"> </w:t>
      </w:r>
      <w:r>
        <w:rPr>
          <w:sz w:val="24"/>
        </w:rPr>
        <w:t>their</w:t>
      </w:r>
      <w:r>
        <w:rPr>
          <w:spacing w:val="-3"/>
          <w:sz w:val="24"/>
        </w:rPr>
        <w:t xml:space="preserve"> </w:t>
      </w:r>
      <w:r>
        <w:rPr>
          <w:sz w:val="24"/>
        </w:rPr>
        <w:t>workload.</w:t>
      </w:r>
    </w:p>
    <w:p w14:paraId="35870062" w14:textId="77777777" w:rsidR="003603EE" w:rsidRDefault="003603EE">
      <w:pPr>
        <w:pStyle w:val="BodyText"/>
        <w:spacing w:before="1"/>
      </w:pPr>
    </w:p>
    <w:p w14:paraId="35870063" w14:textId="6EC8BBA3" w:rsidR="003603EE" w:rsidRPr="00FB7300" w:rsidRDefault="00000000" w:rsidP="00FB7300">
      <w:pPr>
        <w:pStyle w:val="Heading2"/>
        <w:numPr>
          <w:ilvl w:val="0"/>
          <w:numId w:val="5"/>
        </w:numPr>
        <w:ind w:left="630"/>
        <w:jc w:val="left"/>
        <w:rPr>
          <w:b/>
          <w:bCs/>
          <w:color w:val="000000" w:themeColor="text1"/>
        </w:rPr>
      </w:pPr>
      <w:r w:rsidRPr="00FB7300">
        <w:rPr>
          <w:b/>
          <w:bCs/>
          <w:color w:val="000000" w:themeColor="text1"/>
        </w:rPr>
        <w:t>Special</w:t>
      </w:r>
      <w:r w:rsidRPr="00FB7300">
        <w:rPr>
          <w:b/>
          <w:bCs/>
          <w:color w:val="000000" w:themeColor="text1"/>
          <w:spacing w:val="-5"/>
        </w:rPr>
        <w:t xml:space="preserve"> </w:t>
      </w:r>
      <w:r w:rsidRPr="00FB7300">
        <w:rPr>
          <w:b/>
          <w:bCs/>
          <w:color w:val="000000" w:themeColor="text1"/>
        </w:rPr>
        <w:t>College</w:t>
      </w:r>
      <w:r w:rsidRPr="00FB7300">
        <w:rPr>
          <w:b/>
          <w:bCs/>
          <w:color w:val="000000" w:themeColor="text1"/>
          <w:spacing w:val="-5"/>
        </w:rPr>
        <w:t xml:space="preserve"> </w:t>
      </w:r>
      <w:r w:rsidRPr="00FB7300">
        <w:rPr>
          <w:b/>
          <w:bCs/>
          <w:color w:val="000000" w:themeColor="text1"/>
          <w:spacing w:val="-2"/>
        </w:rPr>
        <w:t>Considerations</w:t>
      </w:r>
    </w:p>
    <w:p w14:paraId="35870064" w14:textId="77777777" w:rsidR="003603EE" w:rsidRDefault="00000000">
      <w:pPr>
        <w:pStyle w:val="BodyText"/>
        <w:ind w:left="120" w:right="117"/>
        <w:jc w:val="both"/>
      </w:pPr>
      <w:r>
        <w:t>To protect the welfare of all its departments and centers, the college needs to balance workload across all units to schedule a curriculum that addresses students’ needs.</w:t>
      </w:r>
      <w:r>
        <w:rPr>
          <w:spacing w:val="80"/>
        </w:rPr>
        <w:t xml:space="preserve"> </w:t>
      </w:r>
      <w:r>
        <w:t>Because curricular</w:t>
      </w:r>
      <w:r>
        <w:rPr>
          <w:spacing w:val="40"/>
        </w:rPr>
        <w:t xml:space="preserve"> </w:t>
      </w:r>
      <w:r>
        <w:t>needs take precedence over individual faculty preferences, the college expects departments to deliver</w:t>
      </w:r>
      <w:r>
        <w:rPr>
          <w:spacing w:val="14"/>
        </w:rPr>
        <w:t xml:space="preserve"> </w:t>
      </w:r>
      <w:r>
        <w:t>course</w:t>
      </w:r>
      <w:r>
        <w:rPr>
          <w:spacing w:val="14"/>
        </w:rPr>
        <w:t xml:space="preserve"> </w:t>
      </w:r>
      <w:r>
        <w:t>work</w:t>
      </w:r>
      <w:r>
        <w:rPr>
          <w:spacing w:val="15"/>
        </w:rPr>
        <w:t xml:space="preserve"> </w:t>
      </w:r>
      <w:r>
        <w:t>to</w:t>
      </w:r>
      <w:r>
        <w:rPr>
          <w:spacing w:val="17"/>
        </w:rPr>
        <w:t xml:space="preserve"> </w:t>
      </w:r>
      <w:r>
        <w:t>meet</w:t>
      </w:r>
      <w:r>
        <w:rPr>
          <w:spacing w:val="16"/>
        </w:rPr>
        <w:t xml:space="preserve"> </w:t>
      </w:r>
      <w:r>
        <w:t>the</w:t>
      </w:r>
      <w:r>
        <w:rPr>
          <w:spacing w:val="13"/>
        </w:rPr>
        <w:t xml:space="preserve"> </w:t>
      </w:r>
      <w:r>
        <w:t>needs</w:t>
      </w:r>
      <w:r>
        <w:rPr>
          <w:spacing w:val="16"/>
        </w:rPr>
        <w:t xml:space="preserve"> </w:t>
      </w:r>
      <w:r>
        <w:t>of</w:t>
      </w:r>
      <w:r>
        <w:rPr>
          <w:spacing w:val="17"/>
        </w:rPr>
        <w:t xml:space="preserve"> </w:t>
      </w:r>
      <w:r>
        <w:t>each</w:t>
      </w:r>
      <w:r>
        <w:rPr>
          <w:spacing w:val="17"/>
        </w:rPr>
        <w:t xml:space="preserve"> </w:t>
      </w:r>
      <w:r>
        <w:t>unit’s</w:t>
      </w:r>
      <w:r>
        <w:rPr>
          <w:spacing w:val="16"/>
        </w:rPr>
        <w:t xml:space="preserve"> </w:t>
      </w:r>
      <w:r>
        <w:t>programs,</w:t>
      </w:r>
      <w:r>
        <w:rPr>
          <w:spacing w:val="15"/>
        </w:rPr>
        <w:t xml:space="preserve"> </w:t>
      </w:r>
      <w:r>
        <w:t>balancing</w:t>
      </w:r>
      <w:r>
        <w:rPr>
          <w:spacing w:val="12"/>
        </w:rPr>
        <w:t xml:space="preserve"> </w:t>
      </w:r>
      <w:r>
        <w:t>departmental</w:t>
      </w:r>
      <w:r>
        <w:rPr>
          <w:spacing w:val="16"/>
        </w:rPr>
        <w:t xml:space="preserve"> </w:t>
      </w:r>
      <w:r>
        <w:rPr>
          <w:spacing w:val="-2"/>
        </w:rPr>
        <w:t>service,</w:t>
      </w:r>
    </w:p>
    <w:p w14:paraId="35870065" w14:textId="77777777" w:rsidR="003603EE" w:rsidRDefault="003603EE">
      <w:pPr>
        <w:jc w:val="both"/>
        <w:sectPr w:rsidR="003603EE">
          <w:type w:val="continuous"/>
          <w:pgSz w:w="12240" w:h="15840"/>
          <w:pgMar w:top="1420" w:right="1320" w:bottom="1200" w:left="1320" w:header="0" w:footer="1017" w:gutter="0"/>
          <w:cols w:space="720"/>
        </w:sectPr>
      </w:pPr>
    </w:p>
    <w:p w14:paraId="35870066" w14:textId="77777777" w:rsidR="003603EE" w:rsidRDefault="00000000">
      <w:pPr>
        <w:pStyle w:val="BodyText"/>
        <w:spacing w:before="72"/>
        <w:ind w:left="119" w:right="121"/>
        <w:jc w:val="both"/>
      </w:pPr>
      <w:proofErr w:type="gramStart"/>
      <w:r>
        <w:lastRenderedPageBreak/>
        <w:t>undergraduate,</w:t>
      </w:r>
      <w:proofErr w:type="gramEnd"/>
      <w:r>
        <w:rPr>
          <w:spacing w:val="-1"/>
        </w:rPr>
        <w:t xml:space="preserve"> </w:t>
      </w:r>
      <w:r>
        <w:t>and graduate</w:t>
      </w:r>
      <w:r>
        <w:rPr>
          <w:spacing w:val="-2"/>
        </w:rPr>
        <w:t xml:space="preserve"> </w:t>
      </w:r>
      <w:r>
        <w:t>missions.</w:t>
      </w:r>
      <w:r>
        <w:rPr>
          <w:spacing w:val="40"/>
        </w:rPr>
        <w:t xml:space="preserve"> </w:t>
      </w:r>
      <w:r>
        <w:t>This</w:t>
      </w:r>
      <w:r>
        <w:rPr>
          <w:spacing w:val="-1"/>
        </w:rPr>
        <w:t xml:space="preserve"> </w:t>
      </w:r>
      <w:r>
        <w:t>overarching</w:t>
      </w:r>
      <w:r>
        <w:rPr>
          <w:spacing w:val="-1"/>
        </w:rPr>
        <w:t xml:space="preserve"> </w:t>
      </w:r>
      <w:r>
        <w:t>concern</w:t>
      </w:r>
      <w:r>
        <w:rPr>
          <w:spacing w:val="-1"/>
        </w:rPr>
        <w:t xml:space="preserve"> </w:t>
      </w:r>
      <w:r>
        <w:t>includes</w:t>
      </w:r>
      <w:r>
        <w:rPr>
          <w:spacing w:val="-1"/>
        </w:rPr>
        <w:t xml:space="preserve"> </w:t>
      </w:r>
      <w:r>
        <w:t>the</w:t>
      </w:r>
      <w:r>
        <w:rPr>
          <w:spacing w:val="-2"/>
        </w:rPr>
        <w:t xml:space="preserve"> </w:t>
      </w:r>
      <w:r>
        <w:t>balancing</w:t>
      </w:r>
      <w:r>
        <w:rPr>
          <w:spacing w:val="-3"/>
        </w:rPr>
        <w:t xml:space="preserve"> </w:t>
      </w:r>
      <w:r>
        <w:t>of</w:t>
      </w:r>
      <w:r>
        <w:rPr>
          <w:spacing w:val="-2"/>
        </w:rPr>
        <w:t xml:space="preserve"> </w:t>
      </w:r>
      <w:r>
        <w:t>needs for discipline based and interdisciplinary programming.</w:t>
      </w:r>
    </w:p>
    <w:p w14:paraId="35870067" w14:textId="77777777" w:rsidR="003603EE" w:rsidRDefault="003603EE">
      <w:pPr>
        <w:pStyle w:val="BodyText"/>
        <w:spacing w:before="4"/>
      </w:pPr>
    </w:p>
    <w:p w14:paraId="35870068" w14:textId="77777777" w:rsidR="003603EE" w:rsidRDefault="00000000">
      <w:pPr>
        <w:pStyle w:val="Heading1"/>
        <w:numPr>
          <w:ilvl w:val="1"/>
          <w:numId w:val="5"/>
        </w:numPr>
        <w:tabs>
          <w:tab w:val="left" w:pos="900"/>
        </w:tabs>
        <w:spacing w:before="1"/>
        <w:ind w:left="899" w:hanging="421"/>
        <w:jc w:val="both"/>
      </w:pPr>
      <w:r>
        <w:t>Joint</w:t>
      </w:r>
      <w:r>
        <w:rPr>
          <w:spacing w:val="-11"/>
        </w:rPr>
        <w:t xml:space="preserve"> </w:t>
      </w:r>
      <w:r>
        <w:t>Appointments</w:t>
      </w:r>
      <w:r>
        <w:rPr>
          <w:spacing w:val="-10"/>
        </w:rPr>
        <w:t xml:space="preserve"> </w:t>
      </w:r>
      <w:r>
        <w:t>&amp;</w:t>
      </w:r>
      <w:r>
        <w:rPr>
          <w:spacing w:val="-9"/>
        </w:rPr>
        <w:t xml:space="preserve"> </w:t>
      </w:r>
      <w:r>
        <w:t>Interdisciplinary</w:t>
      </w:r>
      <w:r>
        <w:rPr>
          <w:spacing w:val="-10"/>
        </w:rPr>
        <w:t xml:space="preserve"> </w:t>
      </w:r>
      <w:r>
        <w:rPr>
          <w:spacing w:val="-2"/>
        </w:rPr>
        <w:t>Teaching</w:t>
      </w:r>
    </w:p>
    <w:p w14:paraId="35870069" w14:textId="77777777" w:rsidR="003603EE" w:rsidRDefault="00000000">
      <w:pPr>
        <w:pStyle w:val="BodyText"/>
        <w:ind w:left="119" w:right="115"/>
        <w:jc w:val="both"/>
      </w:pPr>
      <w:r>
        <w:t>For some faculty, the nature of their teaching assignments may be complicated by their holding joint appointments, teaching in interdisciplinary centers, teaching cross-listed or team-taught courses, or being involved with teacher certification programs in their departments. This section outlines how these special circumstances might be handled.</w:t>
      </w:r>
    </w:p>
    <w:p w14:paraId="3587006A" w14:textId="77777777" w:rsidR="003603EE" w:rsidRDefault="003603EE">
      <w:pPr>
        <w:pStyle w:val="BodyText"/>
        <w:spacing w:before="9"/>
        <w:rPr>
          <w:sz w:val="23"/>
        </w:rPr>
      </w:pPr>
    </w:p>
    <w:p w14:paraId="3587006B" w14:textId="77777777" w:rsidR="003603EE" w:rsidRDefault="00000000">
      <w:pPr>
        <w:pStyle w:val="BodyText"/>
        <w:ind w:left="119" w:right="117"/>
        <w:jc w:val="both"/>
      </w:pPr>
      <w:r>
        <w:t xml:space="preserve">In keeping with our college principle that faculty teaching in interdisciplinary programs </w:t>
      </w:r>
      <w:proofErr w:type="gramStart"/>
      <w:r>
        <w:t>not be</w:t>
      </w:r>
      <w:proofErr w:type="gramEnd"/>
      <w:r>
        <w:t xml:space="preserve"> advantaged or disadvantaged, faculty workload assignments in interdisciplinary programs must be counted towards their overall workload and </w:t>
      </w:r>
      <w:proofErr w:type="gramStart"/>
      <w:r>
        <w:t>weighted</w:t>
      </w:r>
      <w:proofErr w:type="gramEnd"/>
      <w:r>
        <w:t xml:space="preserve"> neither more nor less than comparable assignments in their home department.</w:t>
      </w:r>
      <w:r>
        <w:rPr>
          <w:spacing w:val="40"/>
        </w:rPr>
        <w:t xml:space="preserve"> </w:t>
      </w:r>
      <w:r>
        <w:t>To achieve this, the faculty member, his/her department chair, and the interdisciplinary unit director need to follow any existing Memorandum of Understanding or, absent such an agreement, establish clear understandings of how a particular course in a particular semester will count.</w:t>
      </w:r>
      <w:r>
        <w:rPr>
          <w:spacing w:val="40"/>
        </w:rPr>
        <w:t xml:space="preserve"> </w:t>
      </w:r>
      <w:r>
        <w:t>In most situations, faculty who teach courses with interdisciplinary prefixes in the college need to receive credit towards their workload as if the course carried the prefix of their own department.</w:t>
      </w:r>
    </w:p>
    <w:p w14:paraId="3587006C" w14:textId="77777777" w:rsidR="003603EE" w:rsidRDefault="003603EE">
      <w:pPr>
        <w:pStyle w:val="BodyText"/>
      </w:pPr>
    </w:p>
    <w:p w14:paraId="3587006D" w14:textId="77777777" w:rsidR="003603EE" w:rsidRDefault="00000000">
      <w:pPr>
        <w:pStyle w:val="BodyText"/>
        <w:ind w:left="119" w:right="116"/>
        <w:jc w:val="both"/>
      </w:pPr>
      <w:r>
        <w:t>In scheduling courses that serve interdisciplinary programs, chairs and directors are responsible for determining which faculty have the expertise and pedagogical skills appropriate for interdisciplinary course work.</w:t>
      </w:r>
      <w:r>
        <w:rPr>
          <w:spacing w:val="80"/>
        </w:rPr>
        <w:t xml:space="preserve"> </w:t>
      </w:r>
      <w:r>
        <w:t>Chairs need to consult with directors of interdisciplinary</w:t>
      </w:r>
      <w:r>
        <w:rPr>
          <w:spacing w:val="40"/>
        </w:rPr>
        <w:t xml:space="preserve"> </w:t>
      </w:r>
      <w:r>
        <w:t>programs to coordinate the scheduling of such courses.</w:t>
      </w:r>
      <w:r>
        <w:rPr>
          <w:spacing w:val="40"/>
        </w:rPr>
        <w:t xml:space="preserve"> </w:t>
      </w:r>
      <w:r>
        <w:t>Chairs and directors need to work together</w:t>
      </w:r>
      <w:r>
        <w:rPr>
          <w:spacing w:val="-3"/>
        </w:rPr>
        <w:t xml:space="preserve"> </w:t>
      </w:r>
      <w:r>
        <w:t>to</w:t>
      </w:r>
      <w:r>
        <w:rPr>
          <w:spacing w:val="-2"/>
        </w:rPr>
        <w:t xml:space="preserve"> </w:t>
      </w:r>
      <w:r>
        <w:t>balance</w:t>
      </w:r>
      <w:r>
        <w:rPr>
          <w:spacing w:val="-3"/>
        </w:rPr>
        <w:t xml:space="preserve"> </w:t>
      </w:r>
      <w:r>
        <w:t>the</w:t>
      </w:r>
      <w:r>
        <w:rPr>
          <w:spacing w:val="-3"/>
        </w:rPr>
        <w:t xml:space="preserve"> </w:t>
      </w:r>
      <w:r>
        <w:t>needs</w:t>
      </w:r>
      <w:r>
        <w:rPr>
          <w:spacing w:val="-1"/>
        </w:rPr>
        <w:t xml:space="preserve"> </w:t>
      </w:r>
      <w:r>
        <w:t>of</w:t>
      </w:r>
      <w:r>
        <w:rPr>
          <w:spacing w:val="-2"/>
        </w:rPr>
        <w:t xml:space="preserve"> </w:t>
      </w:r>
      <w:r>
        <w:t>departmental</w:t>
      </w:r>
      <w:r>
        <w:rPr>
          <w:spacing w:val="-1"/>
        </w:rPr>
        <w:t xml:space="preserve"> </w:t>
      </w:r>
      <w:r>
        <w:t>majors,</w:t>
      </w:r>
      <w:r>
        <w:rPr>
          <w:spacing w:val="-1"/>
        </w:rPr>
        <w:t xml:space="preserve"> </w:t>
      </w:r>
      <w:r>
        <w:t>minors,</w:t>
      </w:r>
      <w:r>
        <w:rPr>
          <w:spacing w:val="-1"/>
        </w:rPr>
        <w:t xml:space="preserve"> </w:t>
      </w:r>
      <w:r>
        <w:t>and</w:t>
      </w:r>
      <w:r>
        <w:rPr>
          <w:spacing w:val="-1"/>
        </w:rPr>
        <w:t xml:space="preserve"> </w:t>
      </w:r>
      <w:r>
        <w:t>general education</w:t>
      </w:r>
      <w:r>
        <w:rPr>
          <w:spacing w:val="-1"/>
        </w:rPr>
        <w:t xml:space="preserve"> </w:t>
      </w:r>
      <w:r>
        <w:t>students</w:t>
      </w:r>
      <w:r>
        <w:rPr>
          <w:spacing w:val="-1"/>
        </w:rPr>
        <w:t xml:space="preserve"> </w:t>
      </w:r>
      <w:r>
        <w:t>and the needs of students in the interdisciplinary program.</w:t>
      </w:r>
      <w:r>
        <w:rPr>
          <w:spacing w:val="40"/>
        </w:rPr>
        <w:t xml:space="preserve"> </w:t>
      </w:r>
      <w:r>
        <w:t>Ideally chairs and directors need to establish viable scheduling patterns for discipline based and interdisciplinary courses and factor those courses into the calculation of individual faculty workload.</w:t>
      </w:r>
    </w:p>
    <w:p w14:paraId="3587006E" w14:textId="77777777" w:rsidR="003603EE" w:rsidRDefault="003603EE">
      <w:pPr>
        <w:pStyle w:val="BodyText"/>
      </w:pPr>
    </w:p>
    <w:p w14:paraId="3587006F" w14:textId="77777777" w:rsidR="003603EE" w:rsidRDefault="00000000">
      <w:pPr>
        <w:pStyle w:val="BodyText"/>
        <w:ind w:left="119" w:right="115"/>
        <w:jc w:val="both"/>
      </w:pPr>
      <w:r>
        <w:t>Because interdisciplinary programs are sometimes best served by team-taught course work, chairs</w:t>
      </w:r>
      <w:r>
        <w:rPr>
          <w:spacing w:val="-2"/>
        </w:rPr>
        <w:t xml:space="preserve"> </w:t>
      </w:r>
      <w:r>
        <w:t>and directors</w:t>
      </w:r>
      <w:r>
        <w:rPr>
          <w:spacing w:val="-2"/>
        </w:rPr>
        <w:t xml:space="preserve"> </w:t>
      </w:r>
      <w:r>
        <w:t>need to</w:t>
      </w:r>
      <w:r>
        <w:rPr>
          <w:spacing w:val="-2"/>
        </w:rPr>
        <w:t xml:space="preserve"> </w:t>
      </w:r>
      <w:r>
        <w:t>determine</w:t>
      </w:r>
      <w:r>
        <w:rPr>
          <w:spacing w:val="-3"/>
        </w:rPr>
        <w:t xml:space="preserve"> </w:t>
      </w:r>
      <w:r>
        <w:t>the</w:t>
      </w:r>
      <w:r>
        <w:rPr>
          <w:spacing w:val="-1"/>
        </w:rPr>
        <w:t xml:space="preserve"> </w:t>
      </w:r>
      <w:r>
        <w:t>amount of</w:t>
      </w:r>
      <w:r>
        <w:rPr>
          <w:spacing w:val="-3"/>
        </w:rPr>
        <w:t xml:space="preserve"> </w:t>
      </w:r>
      <w:r>
        <w:t>credit</w:t>
      </w:r>
      <w:r>
        <w:rPr>
          <w:spacing w:val="-2"/>
        </w:rPr>
        <w:t xml:space="preserve"> </w:t>
      </w:r>
      <w:r>
        <w:t>faculty</w:t>
      </w:r>
      <w:r>
        <w:rPr>
          <w:spacing w:val="-7"/>
        </w:rPr>
        <w:t xml:space="preserve"> </w:t>
      </w:r>
      <w:r>
        <w:t>members</w:t>
      </w:r>
      <w:r>
        <w:rPr>
          <w:spacing w:val="-2"/>
        </w:rPr>
        <w:t xml:space="preserve"> </w:t>
      </w:r>
      <w:r>
        <w:t>will</w:t>
      </w:r>
      <w:r>
        <w:rPr>
          <w:spacing w:val="-2"/>
        </w:rPr>
        <w:t xml:space="preserve"> </w:t>
      </w:r>
      <w:r>
        <w:t>receive</w:t>
      </w:r>
      <w:r>
        <w:rPr>
          <w:spacing w:val="-3"/>
        </w:rPr>
        <w:t xml:space="preserve"> </w:t>
      </w:r>
      <w:r>
        <w:t>for</w:t>
      </w:r>
      <w:r>
        <w:rPr>
          <w:spacing w:val="-3"/>
        </w:rPr>
        <w:t xml:space="preserve"> </w:t>
      </w:r>
      <w:r>
        <w:t>such assignments. Normally, the</w:t>
      </w:r>
      <w:r>
        <w:rPr>
          <w:spacing w:val="-1"/>
        </w:rPr>
        <w:t xml:space="preserve"> </w:t>
      </w:r>
      <w:r>
        <w:t>allocation of</w:t>
      </w:r>
      <w:r>
        <w:rPr>
          <w:spacing w:val="-1"/>
        </w:rPr>
        <w:t xml:space="preserve"> </w:t>
      </w:r>
      <w:r>
        <w:t>credit will be</w:t>
      </w:r>
      <w:r>
        <w:rPr>
          <w:spacing w:val="-1"/>
        </w:rPr>
        <w:t xml:space="preserve"> </w:t>
      </w:r>
      <w:r>
        <w:t>proportionate</w:t>
      </w:r>
      <w:r>
        <w:rPr>
          <w:spacing w:val="-1"/>
        </w:rPr>
        <w:t xml:space="preserve"> </w:t>
      </w:r>
      <w:r>
        <w:t>to the</w:t>
      </w:r>
      <w:r>
        <w:rPr>
          <w:spacing w:val="-3"/>
        </w:rPr>
        <w:t xml:space="preserve"> </w:t>
      </w:r>
      <w:r>
        <w:t>class time</w:t>
      </w:r>
      <w:r>
        <w:rPr>
          <w:spacing w:val="-1"/>
        </w:rPr>
        <w:t xml:space="preserve"> </w:t>
      </w:r>
      <w:r>
        <w:t>led by</w:t>
      </w:r>
      <w:r>
        <w:rPr>
          <w:spacing w:val="-7"/>
        </w:rPr>
        <w:t xml:space="preserve"> </w:t>
      </w:r>
      <w:r>
        <w:t>each faculty member.</w:t>
      </w:r>
      <w:r>
        <w:rPr>
          <w:spacing w:val="80"/>
        </w:rPr>
        <w:t xml:space="preserve"> </w:t>
      </w:r>
      <w:r>
        <w:t>The total credit assigned to team taught courses can exceed the equivalent</w:t>
      </w:r>
      <w:r>
        <w:rPr>
          <w:spacing w:val="40"/>
        </w:rPr>
        <w:t xml:space="preserve"> </w:t>
      </w:r>
      <w:r>
        <w:t>value of a single course, if the chair/director(s) believe(s) that the amount of time required to prepare and to deliver the course warrants it.</w:t>
      </w:r>
      <w:r>
        <w:rPr>
          <w:spacing w:val="40"/>
        </w:rPr>
        <w:t xml:space="preserve"> </w:t>
      </w:r>
      <w:r>
        <w:t>Cross-listed courses should count the same as standard departmental courses, unless the chair determines that extra preparation and grading warrants granting additional credit.</w:t>
      </w:r>
    </w:p>
    <w:p w14:paraId="35870070" w14:textId="77777777" w:rsidR="003603EE" w:rsidRDefault="003603EE">
      <w:pPr>
        <w:pStyle w:val="BodyText"/>
        <w:spacing w:before="5"/>
      </w:pPr>
    </w:p>
    <w:p w14:paraId="35870071" w14:textId="77777777" w:rsidR="003603EE" w:rsidRDefault="00000000">
      <w:pPr>
        <w:pStyle w:val="Heading1"/>
        <w:numPr>
          <w:ilvl w:val="1"/>
          <w:numId w:val="5"/>
        </w:numPr>
        <w:tabs>
          <w:tab w:val="left" w:pos="840"/>
        </w:tabs>
        <w:ind w:left="839" w:hanging="361"/>
        <w:jc w:val="both"/>
      </w:pPr>
      <w:r>
        <w:t>Teacher</w:t>
      </w:r>
      <w:r>
        <w:rPr>
          <w:spacing w:val="-7"/>
        </w:rPr>
        <w:t xml:space="preserve"> </w:t>
      </w:r>
      <w:r>
        <w:rPr>
          <w:spacing w:val="-2"/>
        </w:rPr>
        <w:t>Licensure</w:t>
      </w:r>
    </w:p>
    <w:p w14:paraId="35870072" w14:textId="77777777" w:rsidR="003603EE" w:rsidRDefault="00000000">
      <w:pPr>
        <w:pStyle w:val="BodyText"/>
        <w:ind w:left="119" w:right="115"/>
        <w:jc w:val="both"/>
      </w:pPr>
      <w:r>
        <w:t>For faculty members involved in our teacher preparation programs, there are special responsibilities that need to be considered in determining workload.</w:t>
      </w:r>
      <w:r>
        <w:rPr>
          <w:spacing w:val="40"/>
        </w:rPr>
        <w:t xml:space="preserve"> </w:t>
      </w:r>
      <w:r>
        <w:t>Faculty</w:t>
      </w:r>
      <w:r>
        <w:rPr>
          <w:spacing w:val="-1"/>
        </w:rPr>
        <w:t xml:space="preserve"> </w:t>
      </w:r>
      <w:r>
        <w:t>in teacher licensure programs must collect data and write required state and national reports, must keep current on and adjust to changing regulations for teacher certification in the state, and must keep students advised of program changes.</w:t>
      </w:r>
      <w:r>
        <w:rPr>
          <w:spacing w:val="40"/>
        </w:rPr>
        <w:t xml:space="preserve"> </w:t>
      </w:r>
      <w:r>
        <w:t xml:space="preserve">Faculty also </w:t>
      </w:r>
      <w:proofErr w:type="gramStart"/>
      <w:r>
        <w:t>have to</w:t>
      </w:r>
      <w:proofErr w:type="gramEnd"/>
      <w:r>
        <w:t xml:space="preserve"> demonstrate their current “contemporary professional experience,” documenting their participation in such required activities as attending and leading workshops with teacher practitioners, addressing problem-based classroom learning situations</w:t>
      </w:r>
      <w:r>
        <w:rPr>
          <w:spacing w:val="25"/>
        </w:rPr>
        <w:t xml:space="preserve"> </w:t>
      </w:r>
      <w:r>
        <w:t>with</w:t>
      </w:r>
      <w:r>
        <w:rPr>
          <w:spacing w:val="24"/>
        </w:rPr>
        <w:t xml:space="preserve"> </w:t>
      </w:r>
      <w:r>
        <w:t>practitioners,</w:t>
      </w:r>
      <w:r>
        <w:rPr>
          <w:spacing w:val="25"/>
        </w:rPr>
        <w:t xml:space="preserve"> </w:t>
      </w:r>
      <w:r>
        <w:t>consulting</w:t>
      </w:r>
      <w:r>
        <w:rPr>
          <w:spacing w:val="22"/>
        </w:rPr>
        <w:t xml:space="preserve"> </w:t>
      </w:r>
      <w:r>
        <w:t>with</w:t>
      </w:r>
      <w:r>
        <w:rPr>
          <w:spacing w:val="25"/>
        </w:rPr>
        <w:t xml:space="preserve"> </w:t>
      </w:r>
      <w:r>
        <w:t>school</w:t>
      </w:r>
      <w:r>
        <w:rPr>
          <w:spacing w:val="25"/>
        </w:rPr>
        <w:t xml:space="preserve"> </w:t>
      </w:r>
      <w:r>
        <w:t>and</w:t>
      </w:r>
      <w:r>
        <w:rPr>
          <w:spacing w:val="25"/>
        </w:rPr>
        <w:t xml:space="preserve"> </w:t>
      </w:r>
      <w:r>
        <w:t>district</w:t>
      </w:r>
      <w:r>
        <w:rPr>
          <w:spacing w:val="25"/>
        </w:rPr>
        <w:t xml:space="preserve"> </w:t>
      </w:r>
      <w:r>
        <w:t>personnel,</w:t>
      </w:r>
      <w:r>
        <w:rPr>
          <w:spacing w:val="24"/>
        </w:rPr>
        <w:t xml:space="preserve"> </w:t>
      </w:r>
      <w:r>
        <w:t>supervising</w:t>
      </w:r>
      <w:r>
        <w:rPr>
          <w:spacing w:val="23"/>
        </w:rPr>
        <w:t xml:space="preserve"> </w:t>
      </w:r>
      <w:r>
        <w:rPr>
          <w:spacing w:val="-2"/>
        </w:rPr>
        <w:t>clinical</w:t>
      </w:r>
    </w:p>
    <w:p w14:paraId="35870073" w14:textId="77777777" w:rsidR="003603EE" w:rsidRDefault="003603EE">
      <w:pPr>
        <w:jc w:val="both"/>
        <w:sectPr w:rsidR="003603EE">
          <w:pgSz w:w="12240" w:h="15840"/>
          <w:pgMar w:top="1360" w:right="1320" w:bottom="1200" w:left="1320" w:header="0" w:footer="1017" w:gutter="0"/>
          <w:cols w:space="720"/>
        </w:sectPr>
      </w:pPr>
    </w:p>
    <w:p w14:paraId="35870074" w14:textId="77777777" w:rsidR="003603EE" w:rsidRDefault="00000000">
      <w:pPr>
        <w:pStyle w:val="BodyText"/>
        <w:spacing w:before="72"/>
        <w:ind w:left="119" w:right="117"/>
        <w:jc w:val="both"/>
      </w:pPr>
      <w:r>
        <w:lastRenderedPageBreak/>
        <w:t xml:space="preserve">experiences, and doing </w:t>
      </w:r>
      <w:proofErr w:type="gramStart"/>
      <w:r>
        <w:t>field based</w:t>
      </w:r>
      <w:proofErr w:type="gramEnd"/>
      <w:r>
        <w:t xml:space="preserve"> research.</w:t>
      </w:r>
      <w:r>
        <w:rPr>
          <w:spacing w:val="40"/>
        </w:rPr>
        <w:t xml:space="preserve"> </w:t>
      </w:r>
      <w:r>
        <w:t>Teacher licensure faculty must be actively engaged in partnership arrangements with the schools, and they must document their currency in middle school and high school classrooms. For some teacher licensure faculty, particularly those who serve as the primary discipline coordinator of the department, there are also heavy committee responsibilities requiring regular attendance and active participation in CITC and its work.</w:t>
      </w:r>
      <w:r>
        <w:rPr>
          <w:spacing w:val="40"/>
        </w:rPr>
        <w:t xml:space="preserve"> </w:t>
      </w:r>
      <w:r>
        <w:t>In such situations, the chair and the faculty member might consider a different weight of the traditional teaching, scholarship and service responsibilities for the position.</w:t>
      </w:r>
    </w:p>
    <w:p w14:paraId="35870075" w14:textId="77777777" w:rsidR="003603EE" w:rsidRDefault="003603EE">
      <w:pPr>
        <w:pStyle w:val="BodyText"/>
        <w:rPr>
          <w:sz w:val="26"/>
        </w:rPr>
      </w:pPr>
    </w:p>
    <w:p w14:paraId="35870076" w14:textId="77777777" w:rsidR="003603EE" w:rsidRDefault="003603EE">
      <w:pPr>
        <w:pStyle w:val="BodyText"/>
        <w:rPr>
          <w:sz w:val="26"/>
        </w:rPr>
      </w:pPr>
    </w:p>
    <w:p w14:paraId="35870077" w14:textId="77777777" w:rsidR="003603EE" w:rsidRDefault="003603EE">
      <w:pPr>
        <w:pStyle w:val="BodyText"/>
        <w:spacing w:before="1"/>
        <w:rPr>
          <w:sz w:val="37"/>
        </w:rPr>
      </w:pPr>
    </w:p>
    <w:p w14:paraId="35870078" w14:textId="77777777" w:rsidR="003603EE" w:rsidRDefault="00000000">
      <w:pPr>
        <w:ind w:left="120"/>
        <w:jc w:val="both"/>
        <w:rPr>
          <w:rFonts w:ascii="Calibri"/>
        </w:rPr>
      </w:pPr>
      <w:r>
        <w:rPr>
          <w:rFonts w:ascii="Calibri"/>
        </w:rPr>
        <w:t>Approved</w:t>
      </w:r>
      <w:r>
        <w:rPr>
          <w:rFonts w:ascii="Calibri"/>
          <w:spacing w:val="-5"/>
        </w:rPr>
        <w:t xml:space="preserve"> </w:t>
      </w:r>
      <w:r>
        <w:rPr>
          <w:rFonts w:ascii="Calibri"/>
        </w:rPr>
        <w:t>by</w:t>
      </w:r>
      <w:r>
        <w:rPr>
          <w:rFonts w:ascii="Calibri"/>
          <w:spacing w:val="-3"/>
        </w:rPr>
        <w:t xml:space="preserve"> </w:t>
      </w:r>
      <w:r>
        <w:rPr>
          <w:rFonts w:ascii="Calibri"/>
        </w:rPr>
        <w:t>CLAS</w:t>
      </w:r>
      <w:r>
        <w:rPr>
          <w:rFonts w:ascii="Calibri"/>
          <w:spacing w:val="-5"/>
        </w:rPr>
        <w:t xml:space="preserve"> </w:t>
      </w:r>
      <w:r>
        <w:rPr>
          <w:rFonts w:ascii="Calibri"/>
        </w:rPr>
        <w:t>College</w:t>
      </w:r>
      <w:r>
        <w:rPr>
          <w:rFonts w:ascii="Calibri"/>
          <w:spacing w:val="-5"/>
        </w:rPr>
        <w:t xml:space="preserve"> </w:t>
      </w:r>
      <w:r>
        <w:rPr>
          <w:rFonts w:ascii="Calibri"/>
        </w:rPr>
        <w:t>Council</w:t>
      </w:r>
      <w:r>
        <w:rPr>
          <w:rFonts w:ascii="Calibri"/>
          <w:spacing w:val="-4"/>
        </w:rPr>
        <w:t xml:space="preserve"> </w:t>
      </w:r>
      <w:r>
        <w:rPr>
          <w:rFonts w:ascii="Calibri"/>
        </w:rPr>
        <w:t>January</w:t>
      </w:r>
      <w:r>
        <w:rPr>
          <w:rFonts w:ascii="Calibri"/>
          <w:spacing w:val="-5"/>
        </w:rPr>
        <w:t xml:space="preserve"> </w:t>
      </w:r>
      <w:r>
        <w:rPr>
          <w:rFonts w:ascii="Calibri"/>
        </w:rPr>
        <w:t>28,</w:t>
      </w:r>
      <w:r>
        <w:rPr>
          <w:rFonts w:ascii="Calibri"/>
          <w:spacing w:val="-3"/>
        </w:rPr>
        <w:t xml:space="preserve"> </w:t>
      </w:r>
      <w:r>
        <w:rPr>
          <w:rFonts w:ascii="Calibri"/>
          <w:spacing w:val="-4"/>
        </w:rPr>
        <w:t>2013</w:t>
      </w:r>
    </w:p>
    <w:sectPr w:rsidR="003603EE">
      <w:pgSz w:w="12240" w:h="15840"/>
      <w:pgMar w:top="1360" w:right="1320" w:bottom="1200" w:left="132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53ECB" w14:textId="77777777" w:rsidR="007142EA" w:rsidRDefault="007142EA">
      <w:r>
        <w:separator/>
      </w:r>
    </w:p>
  </w:endnote>
  <w:endnote w:type="continuationSeparator" w:id="0">
    <w:p w14:paraId="5AEF1989" w14:textId="77777777" w:rsidR="007142EA" w:rsidRDefault="0071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0079" w14:textId="77777777" w:rsidR="003603EE" w:rsidRDefault="00000000">
    <w:pPr>
      <w:pStyle w:val="BodyText"/>
      <w:spacing w:line="14" w:lineRule="auto"/>
      <w:rPr>
        <w:sz w:val="20"/>
      </w:rPr>
    </w:pPr>
    <w:r>
      <w:pict w14:anchorId="3587007A">
        <v:shapetype id="_x0000_t202" coordsize="21600,21600" o:spt="202" path="m,l,21600r21600,l21600,xe">
          <v:stroke joinstyle="miter"/>
          <v:path gradientshapeok="t" o:connecttype="rect"/>
        </v:shapetype>
        <v:shape id="docshape1" o:spid="_x0000_s1025" type="#_x0000_t202" style="position:absolute;margin-left:300.25pt;margin-top:730.15pt;width:12.6pt;height:13.05pt;z-index:-251658752;mso-position-horizontal-relative:page;mso-position-vertical-relative:page" filled="f" stroked="f">
          <v:textbox inset="0,0,0,0">
            <w:txbxContent>
              <w:p w14:paraId="3587007B" w14:textId="77777777" w:rsidR="003603EE" w:rsidRDefault="00000000">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7D0AD" w14:textId="77777777" w:rsidR="007142EA" w:rsidRDefault="007142EA">
      <w:r>
        <w:separator/>
      </w:r>
    </w:p>
  </w:footnote>
  <w:footnote w:type="continuationSeparator" w:id="0">
    <w:p w14:paraId="5EE0F750" w14:textId="77777777" w:rsidR="007142EA" w:rsidRDefault="00714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C39DD"/>
    <w:multiLevelType w:val="hybridMultilevel"/>
    <w:tmpl w:val="7F6A8F1E"/>
    <w:lvl w:ilvl="0" w:tplc="D564DA9A">
      <w:numFmt w:val="bullet"/>
      <w:lvlText w:val=""/>
      <w:lvlJc w:val="left"/>
      <w:pPr>
        <w:ind w:left="631" w:hanging="360"/>
      </w:pPr>
      <w:rPr>
        <w:rFonts w:ascii="Symbol" w:eastAsia="Symbol" w:hAnsi="Symbol" w:cs="Symbol" w:hint="default"/>
        <w:b w:val="0"/>
        <w:bCs w:val="0"/>
        <w:i w:val="0"/>
        <w:iCs w:val="0"/>
        <w:w w:val="100"/>
        <w:sz w:val="24"/>
        <w:szCs w:val="24"/>
        <w:lang w:val="en-US" w:eastAsia="en-US" w:bidi="ar-SA"/>
      </w:rPr>
    </w:lvl>
    <w:lvl w:ilvl="1" w:tplc="D0BC49E2">
      <w:numFmt w:val="bullet"/>
      <w:lvlText w:val="•"/>
      <w:lvlJc w:val="left"/>
      <w:pPr>
        <w:ind w:left="1171" w:hanging="360"/>
      </w:pPr>
      <w:rPr>
        <w:rFonts w:hint="default"/>
        <w:lang w:val="en-US" w:eastAsia="en-US" w:bidi="ar-SA"/>
      </w:rPr>
    </w:lvl>
    <w:lvl w:ilvl="2" w:tplc="D13EECB4">
      <w:numFmt w:val="bullet"/>
      <w:lvlText w:val="•"/>
      <w:lvlJc w:val="left"/>
      <w:pPr>
        <w:ind w:left="1702" w:hanging="360"/>
      </w:pPr>
      <w:rPr>
        <w:rFonts w:hint="default"/>
        <w:lang w:val="en-US" w:eastAsia="en-US" w:bidi="ar-SA"/>
      </w:rPr>
    </w:lvl>
    <w:lvl w:ilvl="3" w:tplc="76B468E4">
      <w:numFmt w:val="bullet"/>
      <w:lvlText w:val="•"/>
      <w:lvlJc w:val="left"/>
      <w:pPr>
        <w:ind w:left="2233" w:hanging="360"/>
      </w:pPr>
      <w:rPr>
        <w:rFonts w:hint="default"/>
        <w:lang w:val="en-US" w:eastAsia="en-US" w:bidi="ar-SA"/>
      </w:rPr>
    </w:lvl>
    <w:lvl w:ilvl="4" w:tplc="493E4FCA">
      <w:numFmt w:val="bullet"/>
      <w:lvlText w:val="•"/>
      <w:lvlJc w:val="left"/>
      <w:pPr>
        <w:ind w:left="2764" w:hanging="360"/>
      </w:pPr>
      <w:rPr>
        <w:rFonts w:hint="default"/>
        <w:lang w:val="en-US" w:eastAsia="en-US" w:bidi="ar-SA"/>
      </w:rPr>
    </w:lvl>
    <w:lvl w:ilvl="5" w:tplc="498E1FDE">
      <w:numFmt w:val="bullet"/>
      <w:lvlText w:val="•"/>
      <w:lvlJc w:val="left"/>
      <w:pPr>
        <w:ind w:left="3296" w:hanging="360"/>
      </w:pPr>
      <w:rPr>
        <w:rFonts w:hint="default"/>
        <w:lang w:val="en-US" w:eastAsia="en-US" w:bidi="ar-SA"/>
      </w:rPr>
    </w:lvl>
    <w:lvl w:ilvl="6" w:tplc="D1821738">
      <w:numFmt w:val="bullet"/>
      <w:lvlText w:val="•"/>
      <w:lvlJc w:val="left"/>
      <w:pPr>
        <w:ind w:left="3827" w:hanging="360"/>
      </w:pPr>
      <w:rPr>
        <w:rFonts w:hint="default"/>
        <w:lang w:val="en-US" w:eastAsia="en-US" w:bidi="ar-SA"/>
      </w:rPr>
    </w:lvl>
    <w:lvl w:ilvl="7" w:tplc="19FAE778">
      <w:numFmt w:val="bullet"/>
      <w:lvlText w:val="•"/>
      <w:lvlJc w:val="left"/>
      <w:pPr>
        <w:ind w:left="4358" w:hanging="360"/>
      </w:pPr>
      <w:rPr>
        <w:rFonts w:hint="default"/>
        <w:lang w:val="en-US" w:eastAsia="en-US" w:bidi="ar-SA"/>
      </w:rPr>
    </w:lvl>
    <w:lvl w:ilvl="8" w:tplc="874251BC">
      <w:numFmt w:val="bullet"/>
      <w:lvlText w:val="•"/>
      <w:lvlJc w:val="left"/>
      <w:pPr>
        <w:ind w:left="4889" w:hanging="360"/>
      </w:pPr>
      <w:rPr>
        <w:rFonts w:hint="default"/>
        <w:lang w:val="en-US" w:eastAsia="en-US" w:bidi="ar-SA"/>
      </w:rPr>
    </w:lvl>
  </w:abstractNum>
  <w:abstractNum w:abstractNumId="1" w15:restartNumberingAfterBreak="0">
    <w:nsid w:val="24725E0F"/>
    <w:multiLevelType w:val="hybridMultilevel"/>
    <w:tmpl w:val="1026F146"/>
    <w:lvl w:ilvl="0" w:tplc="41A487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051918"/>
    <w:multiLevelType w:val="hybridMultilevel"/>
    <w:tmpl w:val="A55E7AD2"/>
    <w:lvl w:ilvl="0" w:tplc="3BF81858">
      <w:numFmt w:val="bullet"/>
      <w:lvlText w:val=""/>
      <w:lvlJc w:val="left"/>
      <w:pPr>
        <w:ind w:left="631" w:hanging="360"/>
      </w:pPr>
      <w:rPr>
        <w:rFonts w:ascii="Symbol" w:eastAsia="Symbol" w:hAnsi="Symbol" w:cs="Symbol" w:hint="default"/>
        <w:b w:val="0"/>
        <w:bCs w:val="0"/>
        <w:i w:val="0"/>
        <w:iCs w:val="0"/>
        <w:w w:val="100"/>
        <w:sz w:val="24"/>
        <w:szCs w:val="24"/>
        <w:lang w:val="en-US" w:eastAsia="en-US" w:bidi="ar-SA"/>
      </w:rPr>
    </w:lvl>
    <w:lvl w:ilvl="1" w:tplc="3CEA33B4">
      <w:numFmt w:val="bullet"/>
      <w:lvlText w:val="•"/>
      <w:lvlJc w:val="left"/>
      <w:pPr>
        <w:ind w:left="1171" w:hanging="360"/>
      </w:pPr>
      <w:rPr>
        <w:rFonts w:hint="default"/>
        <w:lang w:val="en-US" w:eastAsia="en-US" w:bidi="ar-SA"/>
      </w:rPr>
    </w:lvl>
    <w:lvl w:ilvl="2" w:tplc="CB980BC6">
      <w:numFmt w:val="bullet"/>
      <w:lvlText w:val="•"/>
      <w:lvlJc w:val="left"/>
      <w:pPr>
        <w:ind w:left="1702" w:hanging="360"/>
      </w:pPr>
      <w:rPr>
        <w:rFonts w:hint="default"/>
        <w:lang w:val="en-US" w:eastAsia="en-US" w:bidi="ar-SA"/>
      </w:rPr>
    </w:lvl>
    <w:lvl w:ilvl="3" w:tplc="F70E69B2">
      <w:numFmt w:val="bullet"/>
      <w:lvlText w:val="•"/>
      <w:lvlJc w:val="left"/>
      <w:pPr>
        <w:ind w:left="2233" w:hanging="360"/>
      </w:pPr>
      <w:rPr>
        <w:rFonts w:hint="default"/>
        <w:lang w:val="en-US" w:eastAsia="en-US" w:bidi="ar-SA"/>
      </w:rPr>
    </w:lvl>
    <w:lvl w:ilvl="4" w:tplc="55226F1E">
      <w:numFmt w:val="bullet"/>
      <w:lvlText w:val="•"/>
      <w:lvlJc w:val="left"/>
      <w:pPr>
        <w:ind w:left="2764" w:hanging="360"/>
      </w:pPr>
      <w:rPr>
        <w:rFonts w:hint="default"/>
        <w:lang w:val="en-US" w:eastAsia="en-US" w:bidi="ar-SA"/>
      </w:rPr>
    </w:lvl>
    <w:lvl w:ilvl="5" w:tplc="7352B52E">
      <w:numFmt w:val="bullet"/>
      <w:lvlText w:val="•"/>
      <w:lvlJc w:val="left"/>
      <w:pPr>
        <w:ind w:left="3296" w:hanging="360"/>
      </w:pPr>
      <w:rPr>
        <w:rFonts w:hint="default"/>
        <w:lang w:val="en-US" w:eastAsia="en-US" w:bidi="ar-SA"/>
      </w:rPr>
    </w:lvl>
    <w:lvl w:ilvl="6" w:tplc="592C7304">
      <w:numFmt w:val="bullet"/>
      <w:lvlText w:val="•"/>
      <w:lvlJc w:val="left"/>
      <w:pPr>
        <w:ind w:left="3827" w:hanging="360"/>
      </w:pPr>
      <w:rPr>
        <w:rFonts w:hint="default"/>
        <w:lang w:val="en-US" w:eastAsia="en-US" w:bidi="ar-SA"/>
      </w:rPr>
    </w:lvl>
    <w:lvl w:ilvl="7" w:tplc="CF9E8D1A">
      <w:numFmt w:val="bullet"/>
      <w:lvlText w:val="•"/>
      <w:lvlJc w:val="left"/>
      <w:pPr>
        <w:ind w:left="4358" w:hanging="360"/>
      </w:pPr>
      <w:rPr>
        <w:rFonts w:hint="default"/>
        <w:lang w:val="en-US" w:eastAsia="en-US" w:bidi="ar-SA"/>
      </w:rPr>
    </w:lvl>
    <w:lvl w:ilvl="8" w:tplc="B65A536C">
      <w:numFmt w:val="bullet"/>
      <w:lvlText w:val="•"/>
      <w:lvlJc w:val="left"/>
      <w:pPr>
        <w:ind w:left="4889" w:hanging="360"/>
      </w:pPr>
      <w:rPr>
        <w:rFonts w:hint="default"/>
        <w:lang w:val="en-US" w:eastAsia="en-US" w:bidi="ar-SA"/>
      </w:rPr>
    </w:lvl>
  </w:abstractNum>
  <w:abstractNum w:abstractNumId="3" w15:restartNumberingAfterBreak="0">
    <w:nsid w:val="393C6C13"/>
    <w:multiLevelType w:val="hybridMultilevel"/>
    <w:tmpl w:val="A740B25A"/>
    <w:lvl w:ilvl="0" w:tplc="DAF2F7A2">
      <w:numFmt w:val="bullet"/>
      <w:lvlText w:val=""/>
      <w:lvlJc w:val="left"/>
      <w:pPr>
        <w:ind w:left="631" w:hanging="360"/>
      </w:pPr>
      <w:rPr>
        <w:rFonts w:ascii="Symbol" w:eastAsia="Symbol" w:hAnsi="Symbol" w:cs="Symbol" w:hint="default"/>
        <w:b w:val="0"/>
        <w:bCs w:val="0"/>
        <w:i w:val="0"/>
        <w:iCs w:val="0"/>
        <w:w w:val="100"/>
        <w:sz w:val="24"/>
        <w:szCs w:val="24"/>
        <w:lang w:val="en-US" w:eastAsia="en-US" w:bidi="ar-SA"/>
      </w:rPr>
    </w:lvl>
    <w:lvl w:ilvl="1" w:tplc="C8F863A8">
      <w:numFmt w:val="bullet"/>
      <w:lvlText w:val="•"/>
      <w:lvlJc w:val="left"/>
      <w:pPr>
        <w:ind w:left="1171" w:hanging="360"/>
      </w:pPr>
      <w:rPr>
        <w:rFonts w:hint="default"/>
        <w:lang w:val="en-US" w:eastAsia="en-US" w:bidi="ar-SA"/>
      </w:rPr>
    </w:lvl>
    <w:lvl w:ilvl="2" w:tplc="9DAECE4A">
      <w:numFmt w:val="bullet"/>
      <w:lvlText w:val="•"/>
      <w:lvlJc w:val="left"/>
      <w:pPr>
        <w:ind w:left="1702" w:hanging="360"/>
      </w:pPr>
      <w:rPr>
        <w:rFonts w:hint="default"/>
        <w:lang w:val="en-US" w:eastAsia="en-US" w:bidi="ar-SA"/>
      </w:rPr>
    </w:lvl>
    <w:lvl w:ilvl="3" w:tplc="825EDE46">
      <w:numFmt w:val="bullet"/>
      <w:lvlText w:val="•"/>
      <w:lvlJc w:val="left"/>
      <w:pPr>
        <w:ind w:left="2233" w:hanging="360"/>
      </w:pPr>
      <w:rPr>
        <w:rFonts w:hint="default"/>
        <w:lang w:val="en-US" w:eastAsia="en-US" w:bidi="ar-SA"/>
      </w:rPr>
    </w:lvl>
    <w:lvl w:ilvl="4" w:tplc="AC722438">
      <w:numFmt w:val="bullet"/>
      <w:lvlText w:val="•"/>
      <w:lvlJc w:val="left"/>
      <w:pPr>
        <w:ind w:left="2764" w:hanging="360"/>
      </w:pPr>
      <w:rPr>
        <w:rFonts w:hint="default"/>
        <w:lang w:val="en-US" w:eastAsia="en-US" w:bidi="ar-SA"/>
      </w:rPr>
    </w:lvl>
    <w:lvl w:ilvl="5" w:tplc="CE3682AC">
      <w:numFmt w:val="bullet"/>
      <w:lvlText w:val="•"/>
      <w:lvlJc w:val="left"/>
      <w:pPr>
        <w:ind w:left="3296" w:hanging="360"/>
      </w:pPr>
      <w:rPr>
        <w:rFonts w:hint="default"/>
        <w:lang w:val="en-US" w:eastAsia="en-US" w:bidi="ar-SA"/>
      </w:rPr>
    </w:lvl>
    <w:lvl w:ilvl="6" w:tplc="93025FB6">
      <w:numFmt w:val="bullet"/>
      <w:lvlText w:val="•"/>
      <w:lvlJc w:val="left"/>
      <w:pPr>
        <w:ind w:left="3827" w:hanging="360"/>
      </w:pPr>
      <w:rPr>
        <w:rFonts w:hint="default"/>
        <w:lang w:val="en-US" w:eastAsia="en-US" w:bidi="ar-SA"/>
      </w:rPr>
    </w:lvl>
    <w:lvl w:ilvl="7" w:tplc="3D7667AC">
      <w:numFmt w:val="bullet"/>
      <w:lvlText w:val="•"/>
      <w:lvlJc w:val="left"/>
      <w:pPr>
        <w:ind w:left="4358" w:hanging="360"/>
      </w:pPr>
      <w:rPr>
        <w:rFonts w:hint="default"/>
        <w:lang w:val="en-US" w:eastAsia="en-US" w:bidi="ar-SA"/>
      </w:rPr>
    </w:lvl>
    <w:lvl w:ilvl="8" w:tplc="9E7437CE">
      <w:numFmt w:val="bullet"/>
      <w:lvlText w:val="•"/>
      <w:lvlJc w:val="left"/>
      <w:pPr>
        <w:ind w:left="4889" w:hanging="360"/>
      </w:pPr>
      <w:rPr>
        <w:rFonts w:hint="default"/>
        <w:lang w:val="en-US" w:eastAsia="en-US" w:bidi="ar-SA"/>
      </w:rPr>
    </w:lvl>
  </w:abstractNum>
  <w:abstractNum w:abstractNumId="4" w15:restartNumberingAfterBreak="0">
    <w:nsid w:val="5B230D0C"/>
    <w:multiLevelType w:val="hybridMultilevel"/>
    <w:tmpl w:val="561E3362"/>
    <w:lvl w:ilvl="0" w:tplc="913C4982">
      <w:numFmt w:val="bullet"/>
      <w:lvlText w:val=""/>
      <w:lvlJc w:val="left"/>
      <w:pPr>
        <w:ind w:left="631" w:hanging="360"/>
      </w:pPr>
      <w:rPr>
        <w:rFonts w:ascii="Symbol" w:eastAsia="Symbol" w:hAnsi="Symbol" w:cs="Symbol" w:hint="default"/>
        <w:w w:val="100"/>
        <w:lang w:val="en-US" w:eastAsia="en-US" w:bidi="ar-SA"/>
      </w:rPr>
    </w:lvl>
    <w:lvl w:ilvl="1" w:tplc="66B22646">
      <w:numFmt w:val="bullet"/>
      <w:lvlText w:val="•"/>
      <w:lvlJc w:val="left"/>
      <w:pPr>
        <w:ind w:left="1171" w:hanging="360"/>
      </w:pPr>
      <w:rPr>
        <w:rFonts w:hint="default"/>
        <w:lang w:val="en-US" w:eastAsia="en-US" w:bidi="ar-SA"/>
      </w:rPr>
    </w:lvl>
    <w:lvl w:ilvl="2" w:tplc="B32C2DA2">
      <w:numFmt w:val="bullet"/>
      <w:lvlText w:val="•"/>
      <w:lvlJc w:val="left"/>
      <w:pPr>
        <w:ind w:left="1702" w:hanging="360"/>
      </w:pPr>
      <w:rPr>
        <w:rFonts w:hint="default"/>
        <w:lang w:val="en-US" w:eastAsia="en-US" w:bidi="ar-SA"/>
      </w:rPr>
    </w:lvl>
    <w:lvl w:ilvl="3" w:tplc="EACAEDBA">
      <w:numFmt w:val="bullet"/>
      <w:lvlText w:val="•"/>
      <w:lvlJc w:val="left"/>
      <w:pPr>
        <w:ind w:left="2233" w:hanging="360"/>
      </w:pPr>
      <w:rPr>
        <w:rFonts w:hint="default"/>
        <w:lang w:val="en-US" w:eastAsia="en-US" w:bidi="ar-SA"/>
      </w:rPr>
    </w:lvl>
    <w:lvl w:ilvl="4" w:tplc="8D4AB4C6">
      <w:numFmt w:val="bullet"/>
      <w:lvlText w:val="•"/>
      <w:lvlJc w:val="left"/>
      <w:pPr>
        <w:ind w:left="2764" w:hanging="360"/>
      </w:pPr>
      <w:rPr>
        <w:rFonts w:hint="default"/>
        <w:lang w:val="en-US" w:eastAsia="en-US" w:bidi="ar-SA"/>
      </w:rPr>
    </w:lvl>
    <w:lvl w:ilvl="5" w:tplc="95242388">
      <w:numFmt w:val="bullet"/>
      <w:lvlText w:val="•"/>
      <w:lvlJc w:val="left"/>
      <w:pPr>
        <w:ind w:left="3296" w:hanging="360"/>
      </w:pPr>
      <w:rPr>
        <w:rFonts w:hint="default"/>
        <w:lang w:val="en-US" w:eastAsia="en-US" w:bidi="ar-SA"/>
      </w:rPr>
    </w:lvl>
    <w:lvl w:ilvl="6" w:tplc="9A040C24">
      <w:numFmt w:val="bullet"/>
      <w:lvlText w:val="•"/>
      <w:lvlJc w:val="left"/>
      <w:pPr>
        <w:ind w:left="3827" w:hanging="360"/>
      </w:pPr>
      <w:rPr>
        <w:rFonts w:hint="default"/>
        <w:lang w:val="en-US" w:eastAsia="en-US" w:bidi="ar-SA"/>
      </w:rPr>
    </w:lvl>
    <w:lvl w:ilvl="7" w:tplc="FC2E13FC">
      <w:numFmt w:val="bullet"/>
      <w:lvlText w:val="•"/>
      <w:lvlJc w:val="left"/>
      <w:pPr>
        <w:ind w:left="4358" w:hanging="360"/>
      </w:pPr>
      <w:rPr>
        <w:rFonts w:hint="default"/>
        <w:lang w:val="en-US" w:eastAsia="en-US" w:bidi="ar-SA"/>
      </w:rPr>
    </w:lvl>
    <w:lvl w:ilvl="8" w:tplc="EBC44532">
      <w:numFmt w:val="bullet"/>
      <w:lvlText w:val="•"/>
      <w:lvlJc w:val="left"/>
      <w:pPr>
        <w:ind w:left="4889" w:hanging="360"/>
      </w:pPr>
      <w:rPr>
        <w:rFonts w:hint="default"/>
        <w:lang w:val="en-US" w:eastAsia="en-US" w:bidi="ar-SA"/>
      </w:rPr>
    </w:lvl>
  </w:abstractNum>
  <w:abstractNum w:abstractNumId="5" w15:restartNumberingAfterBreak="0">
    <w:nsid w:val="7B82036F"/>
    <w:multiLevelType w:val="hybridMultilevel"/>
    <w:tmpl w:val="C3AAEE06"/>
    <w:lvl w:ilvl="0" w:tplc="17A0D5A4">
      <w:start w:val="1"/>
      <w:numFmt w:val="upperRoman"/>
      <w:lvlText w:val="%1."/>
      <w:lvlJc w:val="left"/>
      <w:pPr>
        <w:ind w:left="840" w:hanging="514"/>
        <w:jc w:val="right"/>
      </w:pPr>
      <w:rPr>
        <w:rFonts w:ascii="Times New Roman" w:eastAsia="Times New Roman" w:hAnsi="Times New Roman" w:cs="Times New Roman" w:hint="default"/>
        <w:b/>
        <w:bCs/>
        <w:i w:val="0"/>
        <w:iCs w:val="0"/>
        <w:w w:val="99"/>
        <w:sz w:val="24"/>
        <w:szCs w:val="24"/>
        <w:lang w:val="en-US" w:eastAsia="en-US" w:bidi="ar-SA"/>
      </w:rPr>
    </w:lvl>
    <w:lvl w:ilvl="1" w:tplc="6FCE9DD2">
      <w:start w:val="1"/>
      <w:numFmt w:val="upperLetter"/>
      <w:lvlText w:val="%2."/>
      <w:lvlJc w:val="left"/>
      <w:pPr>
        <w:ind w:left="564" w:hanging="353"/>
        <w:jc w:val="left"/>
      </w:pPr>
      <w:rPr>
        <w:rFonts w:ascii="Times New Roman" w:eastAsia="Times New Roman" w:hAnsi="Times New Roman" w:cs="Times New Roman" w:hint="default"/>
        <w:b/>
        <w:bCs/>
        <w:i w:val="0"/>
        <w:iCs w:val="0"/>
        <w:spacing w:val="-1"/>
        <w:w w:val="99"/>
        <w:sz w:val="24"/>
        <w:szCs w:val="24"/>
        <w:lang w:val="en-US" w:eastAsia="en-US" w:bidi="ar-SA"/>
      </w:rPr>
    </w:lvl>
    <w:lvl w:ilvl="2" w:tplc="1114A7D6">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3" w:tplc="2C4A973E">
      <w:numFmt w:val="bullet"/>
      <w:lvlText w:val="•"/>
      <w:lvlJc w:val="left"/>
      <w:pPr>
        <w:ind w:left="1987" w:hanging="360"/>
      </w:pPr>
      <w:rPr>
        <w:rFonts w:hint="default"/>
        <w:lang w:val="en-US" w:eastAsia="en-US" w:bidi="ar-SA"/>
      </w:rPr>
    </w:lvl>
    <w:lvl w:ilvl="4" w:tplc="CD724B52">
      <w:numFmt w:val="bullet"/>
      <w:lvlText w:val="•"/>
      <w:lvlJc w:val="left"/>
      <w:pPr>
        <w:ind w:left="3075" w:hanging="360"/>
      </w:pPr>
      <w:rPr>
        <w:rFonts w:hint="default"/>
        <w:lang w:val="en-US" w:eastAsia="en-US" w:bidi="ar-SA"/>
      </w:rPr>
    </w:lvl>
    <w:lvl w:ilvl="5" w:tplc="19621008">
      <w:numFmt w:val="bullet"/>
      <w:lvlText w:val="•"/>
      <w:lvlJc w:val="left"/>
      <w:pPr>
        <w:ind w:left="4162" w:hanging="360"/>
      </w:pPr>
      <w:rPr>
        <w:rFonts w:hint="default"/>
        <w:lang w:val="en-US" w:eastAsia="en-US" w:bidi="ar-SA"/>
      </w:rPr>
    </w:lvl>
    <w:lvl w:ilvl="6" w:tplc="505AF264">
      <w:numFmt w:val="bullet"/>
      <w:lvlText w:val="•"/>
      <w:lvlJc w:val="left"/>
      <w:pPr>
        <w:ind w:left="5250" w:hanging="360"/>
      </w:pPr>
      <w:rPr>
        <w:rFonts w:hint="default"/>
        <w:lang w:val="en-US" w:eastAsia="en-US" w:bidi="ar-SA"/>
      </w:rPr>
    </w:lvl>
    <w:lvl w:ilvl="7" w:tplc="874E26C4">
      <w:numFmt w:val="bullet"/>
      <w:lvlText w:val="•"/>
      <w:lvlJc w:val="left"/>
      <w:pPr>
        <w:ind w:left="6337" w:hanging="360"/>
      </w:pPr>
      <w:rPr>
        <w:rFonts w:hint="default"/>
        <w:lang w:val="en-US" w:eastAsia="en-US" w:bidi="ar-SA"/>
      </w:rPr>
    </w:lvl>
    <w:lvl w:ilvl="8" w:tplc="96E08384">
      <w:numFmt w:val="bullet"/>
      <w:lvlText w:val="•"/>
      <w:lvlJc w:val="left"/>
      <w:pPr>
        <w:ind w:left="7425" w:hanging="360"/>
      </w:pPr>
      <w:rPr>
        <w:rFonts w:hint="default"/>
        <w:lang w:val="en-US" w:eastAsia="en-US" w:bidi="ar-SA"/>
      </w:rPr>
    </w:lvl>
  </w:abstractNum>
  <w:num w:numId="1" w16cid:durableId="1113524255">
    <w:abstractNumId w:val="0"/>
  </w:num>
  <w:num w:numId="2" w16cid:durableId="1608657174">
    <w:abstractNumId w:val="3"/>
  </w:num>
  <w:num w:numId="3" w16cid:durableId="1776751673">
    <w:abstractNumId w:val="2"/>
  </w:num>
  <w:num w:numId="4" w16cid:durableId="510610725">
    <w:abstractNumId w:val="4"/>
  </w:num>
  <w:num w:numId="5" w16cid:durableId="1088429668">
    <w:abstractNumId w:val="5"/>
  </w:num>
  <w:num w:numId="6" w16cid:durableId="880628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03EE"/>
    <w:rsid w:val="00064233"/>
    <w:rsid w:val="003603EE"/>
    <w:rsid w:val="006A4719"/>
    <w:rsid w:val="006F59C0"/>
    <w:rsid w:val="007142EA"/>
    <w:rsid w:val="009F5D07"/>
    <w:rsid w:val="00FB7300"/>
    <w:rsid w:val="00FF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7001F"/>
  <w15:docId w15:val="{DA9C7010-7993-499F-95C7-458189BC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840" w:hanging="701"/>
      <w:jc w:val="both"/>
      <w:outlineLvl w:val="0"/>
    </w:pPr>
    <w:rPr>
      <w:b/>
      <w:bCs/>
      <w:sz w:val="24"/>
      <w:szCs w:val="24"/>
    </w:rPr>
  </w:style>
  <w:style w:type="paragraph" w:styleId="Heading2">
    <w:name w:val="heading 2"/>
    <w:basedOn w:val="Normal"/>
    <w:next w:val="Normal"/>
    <w:link w:val="Heading2Char"/>
    <w:uiPriority w:val="9"/>
    <w:unhideWhenUsed/>
    <w:qFormat/>
    <w:rsid w:val="0006423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jc w:val="both"/>
    </w:pPr>
  </w:style>
  <w:style w:type="paragraph" w:customStyle="1" w:styleId="TableParagraph">
    <w:name w:val="Table Paragraph"/>
    <w:basedOn w:val="Normal"/>
    <w:uiPriority w:val="1"/>
    <w:qFormat/>
    <w:pPr>
      <w:spacing w:line="293" w:lineRule="exact"/>
      <w:ind w:left="631" w:hanging="361"/>
    </w:pPr>
  </w:style>
  <w:style w:type="paragraph" w:styleId="Title">
    <w:name w:val="Title"/>
    <w:basedOn w:val="Normal"/>
    <w:next w:val="Normal"/>
    <w:link w:val="TitleChar"/>
    <w:uiPriority w:val="10"/>
    <w:qFormat/>
    <w:rsid w:val="0006423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23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64233"/>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6F59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1936</Words>
  <Characters>11037</Characters>
  <Application>Microsoft Office Word</Application>
  <DocSecurity>0</DocSecurity>
  <Lines>91</Lines>
  <Paragraphs>25</Paragraphs>
  <ScaleCrop>false</ScaleCrop>
  <Company>Microsoft</Company>
  <LinksUpToDate>false</LinksUpToDate>
  <CharactersWithSpaces>12948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CLAS-faculty-workload-policy</dc:title>
  <dc:creator>Sue Doederlein</dc:creator>
  <cp:lastModifiedBy>Paula Meyer</cp:lastModifiedBy>
  <cp:revision>6</cp:revision>
  <dcterms:created xsi:type="dcterms:W3CDTF">2026-08-13T19:05:00Z</dcterms:created>
  <dcterms:modified xsi:type="dcterms:W3CDTF">2026-08-13T19:08:00Z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2016-08-09T00:00:00Z</vt:filetime>
  </property>
  <property fmtid="{D5CDD505-2E9C-101B-9397-08002B2CF9AE}" pid="3" name="Creator">
    <vt:lpwstr>Acrobat PDFMaker 11 for Word</vt:lpwstr>
  </property>
  <property fmtid="{D5CDD505-2E9C-101B-9397-08002B2CF9AE}" pid="4" name="LastSaved">
    <vt:filetime>2026-08-13T00:00:00Z</vt:filetime>
  </property>
  <property fmtid="{D5CDD505-2E9C-101B-9397-08002B2CF9AE}" pid="5" name="Producer">
    <vt:lpwstr>Adobe PDF Library 11.0</vt:lpwstr>
  </property>
  <property fmtid="{D5CDD505-2E9C-101B-9397-08002B2CF9AE}" pid="6" name="SourceModified">
    <vt:lpwstr>D:20130128190738</vt:lpwstr>
  </property>
  <property fmtid="{D5CDD505-2E9C-101B-9397-08002B2CF9AE}" pid="7" name="GrammarlyDocumentId">
    <vt:lpwstr>ea9a1e35-553f-4be1-abdf-af0ef0c49878</vt:lpwstr>
  </property>
</Properties>
</file>