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C07A" w14:textId="3137E228" w:rsidR="00425BCE" w:rsidRPr="005346F1" w:rsidRDefault="00FA5E3B" w:rsidP="002A49E9">
      <w:pPr>
        <w:pStyle w:val="Heading1"/>
        <w:spacing w:after="0"/>
        <w:jc w:val="center"/>
        <w:rPr>
          <w:rFonts w:ascii="Arial" w:hAnsi="Arial" w:cs="Arial"/>
        </w:rPr>
      </w:pPr>
      <w:r w:rsidRPr="005346F1">
        <w:rPr>
          <w:rFonts w:ascii="Arial" w:hAnsi="Arial" w:cs="Arial"/>
        </w:rPr>
        <w:t xml:space="preserve">Checklist for </w:t>
      </w:r>
      <w:r w:rsidR="004541FC" w:rsidRPr="005346F1">
        <w:rPr>
          <w:rFonts w:ascii="Arial" w:hAnsi="Arial" w:cs="Arial"/>
        </w:rPr>
        <w:t xml:space="preserve">Meeting </w:t>
      </w:r>
      <w:r w:rsidR="00B055C8">
        <w:rPr>
          <w:rFonts w:ascii="Arial" w:hAnsi="Arial" w:cs="Arial"/>
        </w:rPr>
        <w:t xml:space="preserve">Quality Matters Standard </w:t>
      </w:r>
      <w:r w:rsidR="00656FB9">
        <w:rPr>
          <w:rFonts w:ascii="Arial" w:hAnsi="Arial" w:cs="Arial"/>
          <w:lang w:val="en-US"/>
        </w:rPr>
        <w:t>7</w:t>
      </w:r>
    </w:p>
    <w:p w14:paraId="0FD7AB52" w14:textId="6E3AB5E4" w:rsidR="00425BCE" w:rsidRPr="00203BDA" w:rsidRDefault="00656FB9" w:rsidP="002A49E9">
      <w:pPr>
        <w:pStyle w:val="Heading1"/>
        <w:spacing w:before="0" w:after="180"/>
        <w:jc w:val="center"/>
        <w:rPr>
          <w:rFonts w:ascii="Arial" w:hAnsi="Arial" w:cs="Arial"/>
          <w:bCs w:val="0"/>
          <w:iCs/>
          <w:sz w:val="24"/>
          <w:szCs w:val="24"/>
          <w:lang w:val="en-US"/>
        </w:rPr>
      </w:pPr>
      <w:r>
        <w:rPr>
          <w:rFonts w:ascii="Arial" w:hAnsi="Arial" w:cs="Arial"/>
          <w:bCs w:val="0"/>
          <w:iCs/>
          <w:sz w:val="24"/>
          <w:szCs w:val="24"/>
          <w:lang w:val="en-US"/>
        </w:rPr>
        <w:t>Learner Support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590"/>
      </w:tblGrid>
      <w:tr w:rsidR="00480691" w:rsidRPr="00A91A61" w14:paraId="6C44AB60" w14:textId="77777777" w:rsidTr="00273736">
        <w:trPr>
          <w:jc w:val="center"/>
        </w:trPr>
        <w:tc>
          <w:tcPr>
            <w:tcW w:w="9590" w:type="dxa"/>
            <w:tcBorders>
              <w:top w:val="single" w:sz="4" w:space="0" w:color="A6A6A6"/>
              <w:left w:val="single" w:sz="4" w:space="0" w:color="A6A6A6"/>
              <w:bottom w:val="single" w:sz="4" w:space="0" w:color="A6A6A6"/>
              <w:right w:val="single" w:sz="4" w:space="0" w:color="A6A6A6"/>
            </w:tcBorders>
            <w:shd w:val="clear" w:color="auto" w:fill="auto"/>
          </w:tcPr>
          <w:p w14:paraId="29E9374C" w14:textId="2D720A52" w:rsidR="000059D2" w:rsidRDefault="001F6449" w:rsidP="001F6449">
            <w:pPr>
              <w:pBdr>
                <w:top w:val="nil"/>
                <w:left w:val="nil"/>
                <w:bottom w:val="nil"/>
                <w:right w:val="nil"/>
                <w:between w:val="nil"/>
                <w:bar w:val="nil"/>
              </w:pBdr>
              <w:spacing w:after="0" w:line="240" w:lineRule="auto"/>
              <w:ind w:left="414" w:hanging="360"/>
              <w:contextualSpacing/>
            </w:pPr>
            <w:r>
              <w:rPr>
                <w:noProof/>
              </w:rPr>
              <w:drawing>
                <wp:anchor distT="0" distB="0" distL="114300" distR="114300" simplePos="0" relativeHeight="251659264" behindDoc="0" locked="0" layoutInCell="1" allowOverlap="1" wp14:anchorId="4585AD11" wp14:editId="0395333D">
                  <wp:simplePos x="0" y="0"/>
                  <wp:positionH relativeFrom="column">
                    <wp:posOffset>-6350</wp:posOffset>
                  </wp:positionH>
                  <wp:positionV relativeFrom="paragraph">
                    <wp:posOffset>0</wp:posOffset>
                  </wp:positionV>
                  <wp:extent cx="164592" cy="164592"/>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7963D7">
              <w:t>7</w:t>
            </w:r>
            <w:r w:rsidR="000059D2">
              <w:t xml:space="preserve">.1 </w:t>
            </w:r>
            <w:r w:rsidR="007963D7" w:rsidRPr="007963D7">
              <w:rPr>
                <w:color w:val="000000"/>
              </w:rPr>
              <w:t xml:space="preserve">The course instructions articulate or link to a clear description of the technical support </w:t>
            </w:r>
            <w:r w:rsidR="007963D7">
              <w:rPr>
                <w:color w:val="000000"/>
              </w:rPr>
              <w:br/>
              <w:t xml:space="preserve">     </w:t>
            </w:r>
            <w:r w:rsidR="007963D7" w:rsidRPr="007963D7">
              <w:rPr>
                <w:color w:val="000000"/>
              </w:rPr>
              <w:t>offered and how to obtain it.</w:t>
            </w:r>
            <w:r>
              <w:rPr>
                <w:noProof/>
              </w:rPr>
              <w:drawing>
                <wp:anchor distT="0" distB="0" distL="114300" distR="114300" simplePos="0" relativeHeight="251661312" behindDoc="0" locked="0" layoutInCell="1" allowOverlap="1" wp14:anchorId="2275B268" wp14:editId="4EA68A9C">
                  <wp:simplePos x="0" y="0"/>
                  <wp:positionH relativeFrom="column">
                    <wp:posOffset>-6350</wp:posOffset>
                  </wp:positionH>
                  <wp:positionV relativeFrom="paragraph">
                    <wp:posOffset>0</wp:posOffset>
                  </wp:positionV>
                  <wp:extent cx="164592" cy="164592"/>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p>
          <w:p w14:paraId="3FAB7E2C" w14:textId="114D2903" w:rsidR="00203BDA" w:rsidRPr="007963D7" w:rsidRDefault="007963D7" w:rsidP="007963D7">
            <w:pPr>
              <w:autoSpaceDE w:val="0"/>
              <w:autoSpaceDN w:val="0"/>
              <w:adjustRightInd w:val="0"/>
              <w:spacing w:after="0" w:line="240" w:lineRule="auto"/>
              <w:rPr>
                <w:color w:val="000000"/>
              </w:rPr>
            </w:pPr>
            <w:r>
              <w:rPr>
                <w:noProof/>
              </w:rPr>
              <w:drawing>
                <wp:anchor distT="0" distB="0" distL="114300" distR="114300" simplePos="0" relativeHeight="251669504" behindDoc="0" locked="0" layoutInCell="1" allowOverlap="1" wp14:anchorId="55EC191F" wp14:editId="5D8CA290">
                  <wp:simplePos x="0" y="0"/>
                  <wp:positionH relativeFrom="column">
                    <wp:posOffset>-6350</wp:posOffset>
                  </wp:positionH>
                  <wp:positionV relativeFrom="paragraph">
                    <wp:posOffset>0</wp:posOffset>
                  </wp:positionV>
                  <wp:extent cx="164592" cy="164592"/>
                  <wp:effectExtent l="0" t="0" r="63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7</w:t>
            </w:r>
            <w:r w:rsidR="000059D2" w:rsidRPr="00B60559">
              <w:t>.</w:t>
            </w:r>
            <w:r w:rsidR="006D384A">
              <w:t>2</w:t>
            </w:r>
            <w:r w:rsidR="000059D2" w:rsidRPr="00B60559">
              <w:t xml:space="preserve"> </w:t>
            </w:r>
            <w:r w:rsidRPr="007963D7">
              <w:rPr>
                <w:color w:val="000000"/>
              </w:rPr>
              <w:t xml:space="preserve">Course instructions articulate or link to the institution’s accessibility policies and </w:t>
            </w:r>
            <w:r>
              <w:rPr>
                <w:color w:val="000000"/>
              </w:rPr>
              <w:br/>
              <w:t xml:space="preserve">             </w:t>
            </w:r>
            <w:r w:rsidR="005B0CFB">
              <w:rPr>
                <w:color w:val="000000"/>
              </w:rPr>
              <w:t xml:space="preserve">accommodation </w:t>
            </w:r>
            <w:r w:rsidRPr="007963D7">
              <w:rPr>
                <w:color w:val="000000"/>
              </w:rPr>
              <w:t xml:space="preserve">services. </w:t>
            </w:r>
          </w:p>
          <w:p w14:paraId="1295C883" w14:textId="7D537606" w:rsidR="006D384A" w:rsidRDefault="00203BDA" w:rsidP="006D384A">
            <w:pPr>
              <w:pBdr>
                <w:top w:val="nil"/>
                <w:left w:val="nil"/>
                <w:bottom w:val="nil"/>
                <w:right w:val="nil"/>
                <w:between w:val="nil"/>
                <w:bar w:val="nil"/>
              </w:pBdr>
              <w:spacing w:line="240" w:lineRule="auto"/>
              <w:ind w:left="324" w:hanging="270"/>
              <w:contextualSpacing/>
            </w:pPr>
            <w:r>
              <w:t xml:space="preserve"> </w:t>
            </w:r>
            <w:r w:rsidR="007963D7">
              <w:rPr>
                <w:noProof/>
              </w:rPr>
              <w:drawing>
                <wp:anchor distT="0" distB="0" distL="114300" distR="114300" simplePos="0" relativeHeight="251671552" behindDoc="0" locked="0" layoutInCell="1" allowOverlap="1" wp14:anchorId="7A43CE3A" wp14:editId="164B907E">
                  <wp:simplePos x="0" y="0"/>
                  <wp:positionH relativeFrom="column">
                    <wp:posOffset>-6350</wp:posOffset>
                  </wp:positionH>
                  <wp:positionV relativeFrom="paragraph">
                    <wp:posOffset>0</wp:posOffset>
                  </wp:positionV>
                  <wp:extent cx="164592" cy="164592"/>
                  <wp:effectExtent l="0" t="0" r="635"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7963D7">
              <w:t>7</w:t>
            </w:r>
            <w:r w:rsidR="000059D2" w:rsidRPr="00B60559">
              <w:t>.</w:t>
            </w:r>
            <w:r w:rsidR="006D384A">
              <w:t>3</w:t>
            </w:r>
            <w:r w:rsidR="000059D2" w:rsidRPr="00B60559">
              <w:t xml:space="preserve"> </w:t>
            </w:r>
            <w:r w:rsidR="005B0CFB" w:rsidRPr="005B0CFB">
              <w:t xml:space="preserve">Course instructions articulate or link to the institution's academic support services and </w:t>
            </w:r>
            <w:r w:rsidR="005B0CFB">
              <w:br/>
              <w:t xml:space="preserve">       </w:t>
            </w:r>
            <w:r w:rsidR="005B0CFB" w:rsidRPr="005B0CFB">
              <w:t>resources that can help learners succeed in the course.</w:t>
            </w:r>
            <w:r w:rsidR="005B0CFB">
              <w:t xml:space="preserve"> [NIU </w:t>
            </w:r>
            <w:hyperlink r:id="rId13">
              <w:r w:rsidR="005B0CFB" w:rsidRPr="1781993E">
                <w:rPr>
                  <w:rStyle w:val="Hyperlink"/>
                </w:rPr>
                <w:t>success tips and tools</w:t>
              </w:r>
            </w:hyperlink>
            <w:r w:rsidR="005B0CFB" w:rsidRPr="1781993E">
              <w:t>]</w:t>
            </w:r>
            <w:r w:rsidR="00241362">
              <w:t xml:space="preserve"> and </w:t>
            </w:r>
            <w:r w:rsidR="00241362">
              <w:br/>
              <w:t xml:space="preserve">       </w:t>
            </w:r>
            <w:hyperlink r:id="rId14" w:history="1">
              <w:r w:rsidR="00241362" w:rsidRPr="00241362">
                <w:rPr>
                  <w:rStyle w:val="Hyperlink"/>
                </w:rPr>
                <w:t>Huskie Academic Success Center</w:t>
              </w:r>
            </w:hyperlink>
            <w:r w:rsidR="00241362">
              <w:t>]</w:t>
            </w:r>
            <w:r w:rsidR="005B0CFB" w:rsidRPr="1781993E">
              <w:t>.</w:t>
            </w:r>
          </w:p>
          <w:p w14:paraId="52198642" w14:textId="543F0ADD" w:rsidR="00F702B2" w:rsidRPr="001F6449" w:rsidRDefault="001F6449" w:rsidP="006D384A">
            <w:pPr>
              <w:pBdr>
                <w:top w:val="nil"/>
                <w:left w:val="nil"/>
                <w:bottom w:val="nil"/>
                <w:right w:val="nil"/>
                <w:between w:val="nil"/>
                <w:bar w:val="nil"/>
              </w:pBdr>
              <w:spacing w:line="240" w:lineRule="auto"/>
              <w:ind w:left="324" w:hanging="270"/>
              <w:contextualSpacing/>
            </w:pPr>
            <w:r>
              <w:t xml:space="preserve">  </w:t>
            </w:r>
            <w:r w:rsidR="007963D7">
              <w:rPr>
                <w:noProof/>
              </w:rPr>
              <w:drawing>
                <wp:anchor distT="0" distB="0" distL="114300" distR="114300" simplePos="0" relativeHeight="251673600" behindDoc="0" locked="0" layoutInCell="1" allowOverlap="1" wp14:anchorId="6C08F920" wp14:editId="2F4A336B">
                  <wp:simplePos x="0" y="0"/>
                  <wp:positionH relativeFrom="column">
                    <wp:posOffset>-6350</wp:posOffset>
                  </wp:positionH>
                  <wp:positionV relativeFrom="paragraph">
                    <wp:posOffset>0</wp:posOffset>
                  </wp:positionV>
                  <wp:extent cx="164592" cy="164592"/>
                  <wp:effectExtent l="0" t="0" r="635" b="63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EE5D89">
              <w:t>6</w:t>
            </w:r>
            <w:r w:rsidR="006D384A">
              <w:t>.</w:t>
            </w:r>
            <w:r w:rsidR="00D9747D">
              <w:t>4</w:t>
            </w:r>
            <w:r w:rsidR="007963D7">
              <w:t xml:space="preserve"> </w:t>
            </w:r>
            <w:r w:rsidR="007963D7" w:rsidRPr="1781993E">
              <w:rPr>
                <w:color w:val="000000" w:themeColor="text1"/>
              </w:rPr>
              <w:t xml:space="preserve">Course instructions articulate or link to the institution’s student services and resources </w:t>
            </w:r>
            <w:r w:rsidR="007963D7">
              <w:rPr>
                <w:color w:val="000000" w:themeColor="text1"/>
              </w:rPr>
              <w:br/>
              <w:t xml:space="preserve">       </w:t>
            </w:r>
            <w:r w:rsidR="007963D7" w:rsidRPr="1781993E">
              <w:rPr>
                <w:color w:val="000000" w:themeColor="text1"/>
              </w:rPr>
              <w:t xml:space="preserve">that can help learners succeed. </w:t>
            </w:r>
            <w:r w:rsidR="007963D7" w:rsidRPr="1781993E">
              <w:t xml:space="preserve">[NIU </w:t>
            </w:r>
            <w:hyperlink r:id="rId15" w:history="1">
              <w:r w:rsidR="005B0CFB" w:rsidRPr="005B0CFB">
                <w:rPr>
                  <w:rStyle w:val="Hyperlink"/>
                </w:rPr>
                <w:t>student life</w:t>
              </w:r>
            </w:hyperlink>
            <w:r w:rsidR="005B0CFB">
              <w:t xml:space="preserve"> site]</w:t>
            </w:r>
            <w:r w:rsidR="007963D7" w:rsidRPr="1781993E">
              <w:t xml:space="preserve"> </w:t>
            </w:r>
          </w:p>
        </w:tc>
      </w:tr>
    </w:tbl>
    <w:p w14:paraId="5B73B0F1" w14:textId="0057F6C1" w:rsidR="00D9747D" w:rsidRDefault="00D9747D" w:rsidP="002A49E9">
      <w:pPr>
        <w:pStyle w:val="Default"/>
        <w:spacing w:before="60" w:after="60"/>
        <w:rPr>
          <w:b/>
          <w:bCs/>
          <w:iCs/>
          <w:sz w:val="4"/>
        </w:rPr>
      </w:pPr>
    </w:p>
    <w:p w14:paraId="78246E76" w14:textId="77777777" w:rsidR="007963D7" w:rsidRPr="007963D7" w:rsidRDefault="007963D7" w:rsidP="007963D7">
      <w:pPr>
        <w:pStyle w:val="Heading4"/>
        <w:shd w:val="clear" w:color="auto" w:fill="FFFFFF"/>
        <w:rPr>
          <w:rStyle w:val="Heading2Char"/>
          <w:b/>
          <w:bCs/>
          <w:color w:val="auto"/>
        </w:rPr>
      </w:pPr>
      <w:r w:rsidRPr="007963D7">
        <w:rPr>
          <w:rStyle w:val="Heading2Char"/>
          <w:b/>
          <w:bCs/>
          <w:color w:val="auto"/>
        </w:rPr>
        <w:t xml:space="preserve">ADA Statement (Required to be on your syllabus) </w:t>
      </w:r>
    </w:p>
    <w:p w14:paraId="641FDECF" w14:textId="77777777" w:rsidR="005B0CFB" w:rsidRPr="005B0CFB" w:rsidRDefault="007963D7" w:rsidP="005B0CFB">
      <w:pPr>
        <w:pStyle w:val="Heading4"/>
        <w:shd w:val="clear" w:color="auto" w:fill="FFFFFF"/>
        <w:rPr>
          <w:rFonts w:asciiTheme="minorHAnsi" w:hAnsiTheme="minorHAnsi" w:cs="Arial"/>
          <w:i w:val="0"/>
          <w:color w:val="000000"/>
        </w:rPr>
      </w:pPr>
      <w:r w:rsidRPr="007963D7">
        <w:rPr>
          <w:rFonts w:asciiTheme="minorHAnsi" w:hAnsiTheme="minorHAnsi" w:cs="Arial"/>
          <w:b/>
          <w:bCs/>
          <w:color w:val="000000"/>
        </w:rPr>
        <w:t>Accommodations for Students with Disabilities</w:t>
      </w:r>
      <w:r>
        <w:rPr>
          <w:rFonts w:asciiTheme="minorHAnsi" w:hAnsiTheme="minorHAnsi" w:cs="Arial"/>
          <w:color w:val="000000"/>
        </w:rPr>
        <w:br/>
      </w:r>
      <w:r w:rsidR="005B0CFB" w:rsidRPr="005B0CFB">
        <w:rPr>
          <w:rFonts w:asciiTheme="minorHAnsi" w:hAnsiTheme="minorHAnsi" w:cs="Arial"/>
          <w:i w:val="0"/>
          <w:color w:val="000000"/>
        </w:rPr>
        <w:t xml:space="preserve">If you need an accommodation for this class, please contact the Disability Resource Center as soon as possible. The DRC coordinates accommodations for students with disabilities. It </w:t>
      </w:r>
      <w:proofErr w:type="gramStart"/>
      <w:r w:rsidR="005B0CFB" w:rsidRPr="005B0CFB">
        <w:rPr>
          <w:rFonts w:asciiTheme="minorHAnsi" w:hAnsiTheme="minorHAnsi" w:cs="Arial"/>
          <w:i w:val="0"/>
          <w:color w:val="000000"/>
        </w:rPr>
        <w:t>is located in</w:t>
      </w:r>
      <w:proofErr w:type="gramEnd"/>
      <w:r w:rsidR="005B0CFB" w:rsidRPr="005B0CFB">
        <w:rPr>
          <w:rFonts w:asciiTheme="minorHAnsi" w:hAnsiTheme="minorHAnsi" w:cs="Arial"/>
          <w:i w:val="0"/>
          <w:color w:val="000000"/>
        </w:rPr>
        <w:t xml:space="preserve"> the Campus Life Building, Suite 180, and can be reached at 815-753-1303 or drc@niu.edu.</w:t>
      </w:r>
    </w:p>
    <w:p w14:paraId="35B393CD" w14:textId="77777777" w:rsidR="005B0CFB" w:rsidRPr="005B0CFB" w:rsidRDefault="005B0CFB" w:rsidP="005B0CFB">
      <w:pPr>
        <w:pStyle w:val="Heading4"/>
        <w:shd w:val="clear" w:color="auto" w:fill="FFFFFF"/>
        <w:rPr>
          <w:rFonts w:asciiTheme="minorHAnsi" w:hAnsiTheme="minorHAnsi" w:cs="Arial"/>
          <w:i w:val="0"/>
          <w:color w:val="000000"/>
        </w:rPr>
      </w:pPr>
    </w:p>
    <w:p w14:paraId="7B25BA41" w14:textId="4539E8D4" w:rsidR="00BD13F0" w:rsidRPr="007963D7" w:rsidRDefault="005B0CFB" w:rsidP="005B0CFB">
      <w:pPr>
        <w:pStyle w:val="Heading4"/>
        <w:shd w:val="clear" w:color="auto" w:fill="FFFFFF"/>
        <w:rPr>
          <w:rFonts w:asciiTheme="minorHAnsi" w:hAnsiTheme="minorHAnsi" w:cs="Arial"/>
          <w:color w:val="000000"/>
        </w:rPr>
      </w:pPr>
      <w:r w:rsidRPr="005B0CFB">
        <w:rPr>
          <w:rFonts w:asciiTheme="minorHAnsi" w:hAnsiTheme="minorHAnsi" w:cs="Arial"/>
          <w:i w:val="0"/>
          <w:color w:val="000000"/>
        </w:rPr>
        <w:t>Also, please contact me privately as soon as possible so we can discuss your accommodations. Please note that you will not be required to disclose your disability, only your accommodations. The sooner you let me know your needs, the sooner I can assist you in achieving your learning goals in this course.</w:t>
      </w:r>
    </w:p>
    <w:tbl>
      <w:tblPr>
        <w:tblW w:w="963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3" w:type="dxa"/>
          <w:left w:w="115" w:type="dxa"/>
          <w:bottom w:w="43" w:type="dxa"/>
          <w:right w:w="115" w:type="dxa"/>
        </w:tblCellMar>
        <w:tblLook w:val="04A0" w:firstRow="1" w:lastRow="0" w:firstColumn="1" w:lastColumn="0" w:noHBand="0" w:noVBand="1"/>
      </w:tblPr>
      <w:tblGrid>
        <w:gridCol w:w="450"/>
        <w:gridCol w:w="9180"/>
      </w:tblGrid>
      <w:tr w:rsidR="00273736" w:rsidRPr="005346F1" w14:paraId="6130D357" w14:textId="77777777" w:rsidTr="001F6449">
        <w:tc>
          <w:tcPr>
            <w:tcW w:w="9630" w:type="dxa"/>
            <w:gridSpan w:val="2"/>
            <w:shd w:val="clear" w:color="auto" w:fill="000000"/>
          </w:tcPr>
          <w:p w14:paraId="2FFEE8AC" w14:textId="352059ED" w:rsidR="00273736" w:rsidRPr="00A91A61" w:rsidRDefault="007963D7" w:rsidP="00A53DA9">
            <w:pPr>
              <w:pStyle w:val="c6"/>
              <w:rPr>
                <w:rFonts w:cs="Arial"/>
                <w:b/>
                <w:color w:val="FFFFFF"/>
              </w:rPr>
            </w:pPr>
            <w:r>
              <w:rPr>
                <w:rFonts w:cs="Arial"/>
                <w:b/>
                <w:color w:val="FFFFFF"/>
              </w:rPr>
              <w:t>Designing Courses that Support Learners</w:t>
            </w:r>
          </w:p>
        </w:tc>
      </w:tr>
      <w:tr w:rsidR="00273736" w:rsidRPr="005346F1" w14:paraId="3693E473" w14:textId="77777777" w:rsidTr="009E5A2A">
        <w:tc>
          <w:tcPr>
            <w:tcW w:w="450" w:type="dxa"/>
            <w:tcBorders>
              <w:right w:val="single" w:sz="4" w:space="0" w:color="FFFFFF"/>
            </w:tcBorders>
            <w:shd w:val="clear" w:color="auto" w:fill="auto"/>
          </w:tcPr>
          <w:p w14:paraId="2928AE0A" w14:textId="77777777" w:rsidR="00273736" w:rsidRPr="005346F1" w:rsidRDefault="00273736"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18A96BA9" w14:textId="7BEA8A07" w:rsidR="00273736" w:rsidRPr="00A91A61" w:rsidRDefault="007963D7" w:rsidP="004A27C8">
            <w:pPr>
              <w:pStyle w:val="c6"/>
              <w:rPr>
                <w:rFonts w:cs="Arial"/>
              </w:rPr>
            </w:pPr>
            <w:r>
              <w:rPr>
                <w:rFonts w:asciiTheme="minorHAnsi" w:eastAsia="Arial" w:hAnsiTheme="minorHAnsi" w:cs="Arial"/>
                <w:sz w:val="22"/>
              </w:rPr>
              <w:t xml:space="preserve">There is a link and information about the NIU </w:t>
            </w:r>
            <w:proofErr w:type="spellStart"/>
            <w:r>
              <w:rPr>
                <w:rFonts w:asciiTheme="minorHAnsi" w:eastAsia="Arial" w:hAnsiTheme="minorHAnsi" w:cs="Arial"/>
                <w:sz w:val="22"/>
              </w:rPr>
              <w:t>DoIT</w:t>
            </w:r>
            <w:proofErr w:type="spellEnd"/>
            <w:r>
              <w:rPr>
                <w:rFonts w:asciiTheme="minorHAnsi" w:eastAsia="Arial" w:hAnsiTheme="minorHAnsi" w:cs="Arial"/>
                <w:sz w:val="22"/>
              </w:rPr>
              <w:t xml:space="preserve"> Service desk (7.1) – </w:t>
            </w:r>
            <w:hyperlink r:id="rId16" w:history="1">
              <w:r w:rsidRPr="00131A18">
                <w:rPr>
                  <w:rStyle w:val="Hyperlink"/>
                  <w:rFonts w:asciiTheme="minorHAnsi" w:eastAsia="Arial" w:hAnsiTheme="minorHAnsi" w:cs="Arial"/>
                  <w:i/>
                  <w:sz w:val="22"/>
                </w:rPr>
                <w:t>servicedesk@niu.edu</w:t>
              </w:r>
            </w:hyperlink>
            <w:r>
              <w:rPr>
                <w:rFonts w:asciiTheme="minorHAnsi" w:eastAsia="Arial" w:hAnsiTheme="minorHAnsi" w:cs="Arial"/>
                <w:sz w:val="22"/>
              </w:rPr>
              <w:t xml:space="preserve"> o</w:t>
            </w:r>
            <w:r>
              <w:rPr>
                <w:rFonts w:eastAsia="Arial"/>
              </w:rPr>
              <w:t xml:space="preserve">r </w:t>
            </w:r>
            <w:hyperlink r:id="rId17" w:history="1">
              <w:r w:rsidRPr="002524F8">
                <w:rPr>
                  <w:rStyle w:val="Hyperlink"/>
                  <w:rFonts w:eastAsia="Arial"/>
                  <w:i/>
                  <w:iCs/>
                </w:rPr>
                <w:t>it.niu.edu</w:t>
              </w:r>
            </w:hyperlink>
          </w:p>
        </w:tc>
      </w:tr>
      <w:tr w:rsidR="00273736" w:rsidRPr="005346F1" w14:paraId="1EC9FD1B" w14:textId="77777777" w:rsidTr="009E5A2A">
        <w:tc>
          <w:tcPr>
            <w:tcW w:w="450" w:type="dxa"/>
            <w:tcBorders>
              <w:right w:val="single" w:sz="4" w:space="0" w:color="FFFFFF"/>
            </w:tcBorders>
            <w:shd w:val="clear" w:color="auto" w:fill="auto"/>
          </w:tcPr>
          <w:p w14:paraId="62AFD024" w14:textId="77777777" w:rsidR="00273736" w:rsidRPr="005346F1" w:rsidRDefault="00273736"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0DD0D00B" w14:textId="159852F9" w:rsidR="00273736" w:rsidRPr="00A91A61" w:rsidRDefault="007963D7" w:rsidP="00F702B2">
            <w:pPr>
              <w:pStyle w:val="c6"/>
              <w:rPr>
                <w:rFonts w:cs="Arial"/>
              </w:rPr>
            </w:pPr>
            <w:r>
              <w:rPr>
                <w:rFonts w:asciiTheme="minorHAnsi" w:eastAsia="Arial" w:hAnsiTheme="minorHAnsi" w:cs="Arial"/>
                <w:sz w:val="22"/>
              </w:rPr>
              <w:t>There is a link to the Disability Resource Center and the NIU ADA Statement is included in the syllabus (7</w:t>
            </w:r>
            <w:r w:rsidRPr="00E734A8">
              <w:rPr>
                <w:rFonts w:asciiTheme="minorHAnsi" w:eastAsia="Arial" w:hAnsiTheme="minorHAnsi" w:cs="Arial"/>
                <w:sz w:val="22"/>
              </w:rPr>
              <w:t>.2)</w:t>
            </w:r>
            <w:r>
              <w:rPr>
                <w:rFonts w:asciiTheme="minorHAnsi" w:eastAsia="Arial" w:hAnsiTheme="minorHAnsi" w:cs="Arial"/>
                <w:sz w:val="22"/>
              </w:rPr>
              <w:t xml:space="preserve"> – </w:t>
            </w:r>
            <w:hyperlink r:id="rId18" w:history="1">
              <w:r w:rsidRPr="0066209A">
                <w:rPr>
                  <w:rStyle w:val="Hyperlink"/>
                  <w:rFonts w:asciiTheme="minorHAnsi" w:eastAsia="Arial" w:hAnsiTheme="minorHAnsi" w:cs="Arial"/>
                  <w:i/>
                  <w:sz w:val="22"/>
                </w:rPr>
                <w:t>niu.edu/disability</w:t>
              </w:r>
            </w:hyperlink>
          </w:p>
        </w:tc>
      </w:tr>
      <w:tr w:rsidR="00FB1795" w:rsidRPr="005346F1" w14:paraId="0776AE91" w14:textId="77777777" w:rsidTr="009E5A2A">
        <w:tc>
          <w:tcPr>
            <w:tcW w:w="450" w:type="dxa"/>
            <w:tcBorders>
              <w:right w:val="single" w:sz="4" w:space="0" w:color="FFFFFF"/>
            </w:tcBorders>
            <w:shd w:val="clear" w:color="auto" w:fill="auto"/>
          </w:tcPr>
          <w:p w14:paraId="11817452" w14:textId="218C6A8A" w:rsidR="00FB1795" w:rsidRPr="005346F1" w:rsidRDefault="00FB1795"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2E582B02" w14:textId="23453650" w:rsidR="00FB1795" w:rsidRPr="005B0CFB" w:rsidRDefault="007963D7" w:rsidP="00FB1795">
            <w:pPr>
              <w:pStyle w:val="c6"/>
              <w:rPr>
                <w:rFonts w:asciiTheme="minorHAnsi" w:eastAsia="Arial" w:hAnsiTheme="minorHAnsi" w:cs="Arial"/>
                <w:i/>
                <w:iCs/>
              </w:rPr>
            </w:pPr>
            <w:r>
              <w:rPr>
                <w:rFonts w:asciiTheme="minorHAnsi" w:eastAsia="Arial" w:hAnsiTheme="minorHAnsi" w:cs="Arial"/>
                <w:sz w:val="22"/>
              </w:rPr>
              <w:t xml:space="preserve">There are links to relevant Academic Support resources (7.3) </w:t>
            </w:r>
            <w:r w:rsidR="005B0CFB">
              <w:rPr>
                <w:rFonts w:asciiTheme="minorHAnsi" w:eastAsia="Arial" w:hAnsiTheme="minorHAnsi" w:cs="Arial"/>
                <w:sz w:val="22"/>
              </w:rPr>
              <w:br/>
            </w:r>
            <w:r w:rsidR="005B0CFB" w:rsidRPr="57095AAF">
              <w:rPr>
                <w:i/>
                <w:iCs/>
                <w:sz w:val="22"/>
                <w:szCs w:val="22"/>
              </w:rPr>
              <w:t xml:space="preserve">Student Success Tips and Tools: </w:t>
            </w:r>
            <w:hyperlink r:id="rId19" w:history="1">
              <w:r w:rsidR="005B0CFB" w:rsidRPr="006B1350">
                <w:rPr>
                  <w:rStyle w:val="Hyperlink"/>
                  <w:i/>
                  <w:iCs/>
                  <w:sz w:val="22"/>
                  <w:szCs w:val="22"/>
                </w:rPr>
                <w:t>go.niu.edu/student-success-tips</w:t>
              </w:r>
            </w:hyperlink>
            <w:r>
              <w:rPr>
                <w:rFonts w:asciiTheme="minorHAnsi" w:eastAsia="Arial" w:hAnsiTheme="minorHAnsi" w:cs="Arial"/>
                <w:sz w:val="22"/>
              </w:rPr>
              <w:br/>
            </w:r>
            <w:r w:rsidR="005B0CFB" w:rsidRPr="00FE5B16">
              <w:rPr>
                <w:rFonts w:asciiTheme="minorHAnsi" w:eastAsia="Arial" w:hAnsiTheme="minorHAnsi" w:cs="Arial"/>
                <w:i/>
                <w:iCs/>
                <w:sz w:val="22"/>
                <w:szCs w:val="22"/>
              </w:rPr>
              <w:t>H</w:t>
            </w:r>
            <w:r w:rsidR="005B0CFB" w:rsidRPr="00FE5B16">
              <w:rPr>
                <w:rFonts w:asciiTheme="minorHAnsi" w:eastAsia="Arial" w:hAnsiTheme="minorHAnsi"/>
                <w:i/>
                <w:iCs/>
                <w:sz w:val="22"/>
                <w:szCs w:val="22"/>
              </w:rPr>
              <w:t xml:space="preserve">uskie Academic Success Center: </w:t>
            </w:r>
            <w:hyperlink r:id="rId20" w:history="1">
              <w:r w:rsidR="00FE5B16" w:rsidRPr="00FE5B16">
                <w:rPr>
                  <w:rStyle w:val="Hyperlink"/>
                  <w:rFonts w:asciiTheme="minorHAnsi" w:eastAsia="Arial" w:hAnsiTheme="minorHAnsi"/>
                  <w:i/>
                  <w:iCs/>
                  <w:sz w:val="22"/>
                  <w:szCs w:val="22"/>
                </w:rPr>
                <w:t>niu.edu/academic-support</w:t>
              </w:r>
            </w:hyperlink>
          </w:p>
        </w:tc>
      </w:tr>
      <w:tr w:rsidR="001E017F" w:rsidRPr="005346F1" w14:paraId="46E3A150" w14:textId="77777777" w:rsidTr="009E5A2A">
        <w:tc>
          <w:tcPr>
            <w:tcW w:w="450" w:type="dxa"/>
            <w:tcBorders>
              <w:right w:val="single" w:sz="4" w:space="0" w:color="FFFFFF"/>
            </w:tcBorders>
            <w:shd w:val="clear" w:color="auto" w:fill="auto"/>
          </w:tcPr>
          <w:p w14:paraId="0C580450" w14:textId="77777777" w:rsidR="001E017F" w:rsidRPr="005346F1" w:rsidRDefault="001E017F" w:rsidP="001E017F">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27AA2F41" w14:textId="62EDB8C7" w:rsidR="001E017F" w:rsidRPr="00A91A61" w:rsidRDefault="007963D7" w:rsidP="001E017F">
            <w:pPr>
              <w:pStyle w:val="c6"/>
              <w:rPr>
                <w:rFonts w:cs="Arial"/>
              </w:rPr>
            </w:pPr>
            <w:r w:rsidRPr="57095AAF">
              <w:rPr>
                <w:rFonts w:asciiTheme="minorHAnsi" w:eastAsia="Arial" w:hAnsiTheme="minorHAnsi" w:cs="Arial"/>
                <w:sz w:val="22"/>
                <w:szCs w:val="22"/>
              </w:rPr>
              <w:t xml:space="preserve">There are links to relevant student services and resources (7.4) </w:t>
            </w:r>
            <w:r w:rsidR="005B0CFB">
              <w:rPr>
                <w:rFonts w:asciiTheme="minorHAnsi" w:eastAsia="Arial" w:hAnsiTheme="minorHAnsi" w:cs="Arial"/>
                <w:sz w:val="22"/>
                <w:szCs w:val="22"/>
              </w:rPr>
              <w:br/>
            </w:r>
            <w:r w:rsidR="005B0CFB">
              <w:rPr>
                <w:rFonts w:asciiTheme="minorHAnsi" w:eastAsia="Arial" w:hAnsiTheme="minorHAnsi" w:cs="Arial"/>
                <w:i/>
                <w:iCs/>
                <w:sz w:val="22"/>
                <w:szCs w:val="22"/>
              </w:rPr>
              <w:t>Student Life</w:t>
            </w:r>
            <w:r w:rsidR="005B0CFB" w:rsidRPr="57095AAF">
              <w:rPr>
                <w:rFonts w:asciiTheme="minorHAnsi" w:eastAsia="Arial" w:hAnsiTheme="minorHAnsi" w:cs="Arial"/>
                <w:i/>
                <w:iCs/>
                <w:sz w:val="22"/>
                <w:szCs w:val="22"/>
              </w:rPr>
              <w:t xml:space="preserve">: </w:t>
            </w:r>
            <w:hyperlink r:id="rId21" w:history="1">
              <w:r w:rsidR="005B0CFB" w:rsidRPr="006B1350">
                <w:rPr>
                  <w:rStyle w:val="Hyperlink"/>
                  <w:i/>
                  <w:iCs/>
                  <w:sz w:val="22"/>
                  <w:szCs w:val="22"/>
                </w:rPr>
                <w:t>niu.edu/student-life</w:t>
              </w:r>
            </w:hyperlink>
            <w:r>
              <w:br/>
            </w:r>
            <w:r w:rsidRPr="57095AAF">
              <w:rPr>
                <w:rFonts w:asciiTheme="minorHAnsi" w:eastAsia="Arial" w:hAnsiTheme="minorHAnsi" w:cs="Arial"/>
                <w:i/>
                <w:iCs/>
                <w:sz w:val="22"/>
                <w:szCs w:val="22"/>
              </w:rPr>
              <w:t xml:space="preserve">Student Affairs: </w:t>
            </w:r>
            <w:hyperlink r:id="rId22" w:history="1">
              <w:r w:rsidRPr="009E1A3B">
                <w:rPr>
                  <w:rStyle w:val="Hyperlink"/>
                  <w:rFonts w:asciiTheme="minorHAnsi" w:eastAsia="Arial" w:hAnsiTheme="minorHAnsi" w:cs="Arial"/>
                  <w:i/>
                  <w:iCs/>
                  <w:sz w:val="22"/>
                  <w:szCs w:val="22"/>
                </w:rPr>
                <w:t>niu.edu/student-affairs/departments</w:t>
              </w:r>
            </w:hyperlink>
            <w:r>
              <w:br/>
            </w:r>
            <w:r w:rsidRPr="57095AAF">
              <w:rPr>
                <w:i/>
                <w:iCs/>
                <w:sz w:val="22"/>
                <w:szCs w:val="22"/>
              </w:rPr>
              <w:t>Career Services:</w:t>
            </w:r>
            <w:r w:rsidRPr="57095AAF">
              <w:rPr>
                <w:rStyle w:val="Hyperlink"/>
                <w:i/>
                <w:iCs/>
                <w:sz w:val="22"/>
                <w:szCs w:val="22"/>
              </w:rPr>
              <w:t xml:space="preserve"> </w:t>
            </w:r>
            <w:hyperlink r:id="rId23" w:history="1">
              <w:r w:rsidRPr="006B1350">
                <w:rPr>
                  <w:rStyle w:val="Hyperlink"/>
                  <w:rFonts w:cs="Arial"/>
                  <w:i/>
                  <w:iCs/>
                  <w:sz w:val="22"/>
                  <w:szCs w:val="22"/>
                </w:rPr>
                <w:t>niu.edu/career-services</w:t>
              </w:r>
            </w:hyperlink>
          </w:p>
        </w:tc>
      </w:tr>
      <w:tr w:rsidR="00203BDA" w:rsidRPr="005346F1" w14:paraId="7BDBB6B0" w14:textId="77777777" w:rsidTr="001F6449">
        <w:tc>
          <w:tcPr>
            <w:tcW w:w="9630" w:type="dxa"/>
            <w:gridSpan w:val="2"/>
            <w:shd w:val="clear" w:color="auto" w:fill="000000"/>
          </w:tcPr>
          <w:p w14:paraId="39BF52E4" w14:textId="77777777" w:rsidR="00203BDA" w:rsidRPr="00A91A61" w:rsidRDefault="00203BDA" w:rsidP="00203BDA">
            <w:pPr>
              <w:pStyle w:val="c6"/>
              <w:rPr>
                <w:rFonts w:cs="Arial"/>
                <w:b/>
                <w:noProof/>
                <w:color w:val="FFFFFF"/>
              </w:rPr>
            </w:pPr>
            <w:r w:rsidRPr="00A91A61">
              <w:rPr>
                <w:rFonts w:cs="Arial"/>
                <w:b/>
                <w:noProof/>
                <w:color w:val="FFFFFF"/>
              </w:rPr>
              <w:t>Tips (Recommended strategies to consider)</w:t>
            </w:r>
          </w:p>
        </w:tc>
      </w:tr>
      <w:tr w:rsidR="00203BDA" w:rsidRPr="005346F1" w14:paraId="325DA442" w14:textId="77777777" w:rsidTr="00E11061">
        <w:tc>
          <w:tcPr>
            <w:tcW w:w="9630" w:type="dxa"/>
            <w:gridSpan w:val="2"/>
            <w:shd w:val="clear" w:color="auto" w:fill="auto"/>
          </w:tcPr>
          <w:p w14:paraId="5D9EDBA8" w14:textId="47A29910" w:rsidR="00203BDA" w:rsidRPr="00A91A61" w:rsidRDefault="007963D7" w:rsidP="00203BDA">
            <w:pPr>
              <w:pStyle w:val="c6"/>
              <w:rPr>
                <w:rFonts w:cs="Arial"/>
                <w:noProof/>
              </w:rPr>
            </w:pPr>
            <w:r>
              <w:rPr>
                <w:rFonts w:asciiTheme="minorHAnsi" w:eastAsia="Arial" w:hAnsiTheme="minorHAnsi" w:cs="Arial"/>
                <w:sz w:val="22"/>
              </w:rPr>
              <w:t>Provide other resources and supports that are appropriate for the discipline/course, such as specific college/program student services department or external links</w:t>
            </w:r>
          </w:p>
        </w:tc>
      </w:tr>
    </w:tbl>
    <w:p w14:paraId="2CBFBEC8" w14:textId="77777777" w:rsidR="007B18A5" w:rsidRPr="005346F1" w:rsidRDefault="007B18A5">
      <w:pPr>
        <w:rPr>
          <w:rFonts w:ascii="Arial" w:hAnsi="Arial" w:cs="Arial"/>
          <w:sz w:val="22"/>
          <w:szCs w:val="22"/>
        </w:rPr>
      </w:pPr>
    </w:p>
    <w:sectPr w:rsidR="007B18A5" w:rsidRPr="005346F1" w:rsidSect="001F6449">
      <w:headerReference w:type="default" r:id="rId24"/>
      <w:footerReference w:type="default" r:id="rId25"/>
      <w:pgSz w:w="12240" w:h="15840" w:code="1"/>
      <w:pgMar w:top="1008" w:right="1440" w:bottom="1098" w:left="144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9839" w14:textId="77777777" w:rsidR="009131A5" w:rsidRDefault="009131A5" w:rsidP="00517C07">
      <w:pPr>
        <w:spacing w:after="0" w:line="240" w:lineRule="auto"/>
      </w:pPr>
      <w:r>
        <w:separator/>
      </w:r>
    </w:p>
  </w:endnote>
  <w:endnote w:type="continuationSeparator" w:id="0">
    <w:p w14:paraId="3A852089" w14:textId="77777777" w:rsidR="009131A5" w:rsidRDefault="009131A5" w:rsidP="0051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6D4E" w14:textId="7542D353" w:rsidR="00976C85" w:rsidRPr="00A91A61" w:rsidRDefault="00976C85" w:rsidP="00976C85">
    <w:pPr>
      <w:pStyle w:val="Footer"/>
      <w:rPr>
        <w:rFonts w:cs="Arial"/>
        <w:sz w:val="20"/>
        <w:szCs w:val="20"/>
      </w:rPr>
    </w:pPr>
    <w:r w:rsidRPr="00A91A61">
      <w:rPr>
        <w:rFonts w:cs="Arial"/>
        <w:sz w:val="20"/>
        <w:szCs w:val="20"/>
      </w:rPr>
      <w:t xml:space="preserve">Developed by the </w:t>
    </w:r>
    <w:r w:rsidR="00E733FE" w:rsidRPr="00A91A61">
      <w:rPr>
        <w:rFonts w:cs="Arial"/>
        <w:sz w:val="20"/>
        <w:szCs w:val="20"/>
      </w:rPr>
      <w:t xml:space="preserve">Northern Illinois University </w:t>
    </w:r>
    <w:r w:rsidR="003F14CC" w:rsidRPr="003F14CC">
      <w:rPr>
        <w:rFonts w:cs="Arial"/>
        <w:sz w:val="20"/>
        <w:szCs w:val="20"/>
      </w:rPr>
      <w:t>Center for Innovative Teaching and Learning</w:t>
    </w:r>
  </w:p>
  <w:p w14:paraId="51059F98" w14:textId="77777777" w:rsidR="00976C85" w:rsidRPr="00A91A61" w:rsidRDefault="00DD56CE" w:rsidP="00976C85">
    <w:pPr>
      <w:pStyle w:val="Footer"/>
      <w:rPr>
        <w:rFonts w:cs="Arial"/>
        <w:sz w:val="20"/>
        <w:szCs w:val="20"/>
      </w:rPr>
    </w:pPr>
    <w:r w:rsidRPr="00A91A61">
      <w:rPr>
        <w:rFonts w:cs="Arial"/>
        <w:noProof/>
        <w:sz w:val="20"/>
        <w:szCs w:val="20"/>
      </w:rPr>
      <w:drawing>
        <wp:anchor distT="0" distB="0" distL="114300" distR="114300" simplePos="0" relativeHeight="251657216" behindDoc="0" locked="0" layoutInCell="1" allowOverlap="1" wp14:anchorId="5583C07A" wp14:editId="07777777">
          <wp:simplePos x="0" y="0"/>
          <wp:positionH relativeFrom="column">
            <wp:posOffset>5057775</wp:posOffset>
          </wp:positionH>
          <wp:positionV relativeFrom="paragraph">
            <wp:posOffset>62230</wp:posOffset>
          </wp:positionV>
          <wp:extent cx="952500" cy="3556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85" w:rsidRPr="00A91A61">
      <w:rPr>
        <w:rFonts w:cs="Arial"/>
        <w:sz w:val="20"/>
        <w:szCs w:val="20"/>
      </w:rPr>
      <w:t>Adapted from © 2014 New Mexico State University Board of Regents</w:t>
    </w:r>
  </w:p>
  <w:p w14:paraId="0627C21D" w14:textId="77777777" w:rsidR="00976C85" w:rsidRPr="00A91A61" w:rsidRDefault="00976C85" w:rsidP="00976C85">
    <w:pPr>
      <w:pStyle w:val="Footer"/>
      <w:rPr>
        <w:rFonts w:cs="Arial"/>
        <w:sz w:val="20"/>
        <w:szCs w:val="20"/>
      </w:rPr>
    </w:pPr>
    <w:r w:rsidRPr="00A91A61">
      <w:rPr>
        <w:rFonts w:cs="Arial"/>
        <w:sz w:val="20"/>
        <w:szCs w:val="20"/>
      </w:rPr>
      <w:t xml:space="preserve">Quality Matters </w:t>
    </w:r>
    <w:hyperlink r:id="rId2" w:history="1">
      <w:r w:rsidRPr="00A91A61">
        <w:rPr>
          <w:rStyle w:val="Hyperlink"/>
          <w:rFonts w:cs="Arial"/>
          <w:sz w:val="20"/>
          <w:szCs w:val="20"/>
        </w:rPr>
        <w:t>http://www.qmprogram.org/</w:t>
      </w:r>
    </w:hyperlink>
    <w:r w:rsidRPr="00A91A61">
      <w:rPr>
        <w:rFonts w:cs="Arial"/>
        <w:sz w:val="20"/>
        <w:szCs w:val="20"/>
      </w:rPr>
      <w:t xml:space="preserve">                                  </w:t>
    </w:r>
  </w:p>
  <w:p w14:paraId="68F13268" w14:textId="68346D25" w:rsidR="002A49E9" w:rsidRPr="009D4AB3" w:rsidRDefault="00976C85" w:rsidP="00480691">
    <w:pPr>
      <w:pStyle w:val="Footer"/>
      <w:rPr>
        <w:rFonts w:cs="Arial"/>
        <w:sz w:val="20"/>
        <w:szCs w:val="20"/>
      </w:rPr>
    </w:pPr>
    <w:r w:rsidRPr="00A91A61">
      <w:rPr>
        <w:rFonts w:cs="Arial"/>
        <w:sz w:val="20"/>
        <w:szCs w:val="20"/>
      </w:rPr>
      <w:t xml:space="preserve">Revised </w:t>
    </w:r>
    <w:proofErr w:type="gramStart"/>
    <w:r w:rsidR="001F6449">
      <w:rPr>
        <w:rFonts w:cs="Arial"/>
        <w:sz w:val="20"/>
        <w:szCs w:val="20"/>
      </w:rPr>
      <w:t>10</w:t>
    </w:r>
    <w:r w:rsidRPr="00A91A61">
      <w:rPr>
        <w:rFonts w:cs="Arial"/>
        <w:sz w:val="20"/>
        <w:szCs w:val="20"/>
      </w:rPr>
      <w:t>/</w:t>
    </w:r>
    <w:r w:rsidR="005B0CFB">
      <w:rPr>
        <w:rFonts w:cs="Arial"/>
        <w:sz w:val="20"/>
        <w:szCs w:val="20"/>
      </w:rPr>
      <w:t>2</w:t>
    </w:r>
    <w:r w:rsidR="006E7D6E">
      <w:rPr>
        <w:rFonts w:cs="Arial"/>
        <w:sz w:val="20"/>
        <w:szCs w:val="20"/>
      </w:rPr>
      <w:t>/</w:t>
    </w:r>
    <w:r w:rsidR="009D4AB3">
      <w:rPr>
        <w:rFonts w:cs="Arial"/>
        <w:sz w:val="20"/>
        <w:szCs w:val="20"/>
      </w:rPr>
      <w:t>2</w:t>
    </w:r>
    <w:r w:rsidR="005B0CFB">
      <w:rPr>
        <w:rFonts w:cs="Arial"/>
        <w:sz w:val="20"/>
        <w:szCs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79A6" w14:textId="77777777" w:rsidR="009131A5" w:rsidRDefault="009131A5" w:rsidP="00517C07">
      <w:pPr>
        <w:spacing w:after="0" w:line="240" w:lineRule="auto"/>
      </w:pPr>
      <w:r>
        <w:separator/>
      </w:r>
    </w:p>
  </w:footnote>
  <w:footnote w:type="continuationSeparator" w:id="0">
    <w:p w14:paraId="271454A4" w14:textId="77777777" w:rsidR="009131A5" w:rsidRDefault="009131A5" w:rsidP="0051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5CB" w14:textId="3B043342" w:rsidR="00976C85" w:rsidRPr="00833025" w:rsidRDefault="00E7358D" w:rsidP="00976C85">
    <w:pPr>
      <w:pStyle w:val="Header"/>
      <w:rPr>
        <w:rFonts w:ascii="Times New Roman" w:hAnsi="Times New Roman"/>
      </w:rPr>
    </w:pPr>
    <w:r w:rsidRPr="00E7358D">
      <w:rPr>
        <w:rFonts w:ascii="Times New Roman" w:hAnsi="Times New Roman"/>
        <w:noProof/>
      </w:rPr>
      <w:drawing>
        <wp:inline distT="0" distB="0" distL="0" distR="0" wp14:anchorId="17F3599A" wp14:editId="38687105">
          <wp:extent cx="1870363"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acDev Art\ niuFACDEVnotag_horiz_4Clr_large.jpg"/>
                  <pic:cNvPicPr>
                    <a:picLocks noChangeAspect="1" noChangeArrowheads="1"/>
                  </pic:cNvPicPr>
                </pic:nvPicPr>
                <pic:blipFill>
                  <a:blip r:embed="rId1"/>
                  <a:stretch>
                    <a:fillRect/>
                  </a:stretch>
                </pic:blipFill>
                <pic:spPr bwMode="auto">
                  <a:xfrm>
                    <a:off x="0" y="0"/>
                    <a:ext cx="187036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E43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42C0F"/>
    <w:multiLevelType w:val="hybridMultilevel"/>
    <w:tmpl w:val="D494ED86"/>
    <w:lvl w:ilvl="0" w:tplc="3B8CDEC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77DF3"/>
    <w:multiLevelType w:val="hybridMultilevel"/>
    <w:tmpl w:val="29E0DA32"/>
    <w:lvl w:ilvl="0" w:tplc="C12C4590">
      <w:start w:val="1"/>
      <w:numFmt w:val="decimal"/>
      <w:lvlText w:val="6.%1"/>
      <w:lvlJc w:val="left"/>
      <w:pPr>
        <w:ind w:left="720" w:hanging="360"/>
      </w:pPr>
      <w:rPr>
        <w:rFonts w:ascii="Calibri" w:hAnsi="Calibri"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47B6A"/>
    <w:multiLevelType w:val="hybridMultilevel"/>
    <w:tmpl w:val="42AE8E38"/>
    <w:lvl w:ilvl="0" w:tplc="64023F24">
      <w:start w:val="1"/>
      <w:numFmt w:val="bullet"/>
      <w:lvlText w:val="•"/>
      <w:lvlJc w:val="left"/>
      <w:pPr>
        <w:tabs>
          <w:tab w:val="num" w:pos="720"/>
        </w:tabs>
        <w:ind w:left="720" w:hanging="360"/>
      </w:pPr>
      <w:rPr>
        <w:rFonts w:ascii="Georgia" w:hAnsi="Georgia" w:hint="default"/>
      </w:rPr>
    </w:lvl>
    <w:lvl w:ilvl="1" w:tplc="D06C7D5E" w:tentative="1">
      <w:start w:val="1"/>
      <w:numFmt w:val="bullet"/>
      <w:lvlText w:val="•"/>
      <w:lvlJc w:val="left"/>
      <w:pPr>
        <w:tabs>
          <w:tab w:val="num" w:pos="1440"/>
        </w:tabs>
        <w:ind w:left="1440" w:hanging="360"/>
      </w:pPr>
      <w:rPr>
        <w:rFonts w:ascii="Georgia" w:hAnsi="Georgia" w:hint="default"/>
      </w:rPr>
    </w:lvl>
    <w:lvl w:ilvl="2" w:tplc="0B8EC108" w:tentative="1">
      <w:start w:val="1"/>
      <w:numFmt w:val="bullet"/>
      <w:lvlText w:val="•"/>
      <w:lvlJc w:val="left"/>
      <w:pPr>
        <w:tabs>
          <w:tab w:val="num" w:pos="2160"/>
        </w:tabs>
        <w:ind w:left="2160" w:hanging="360"/>
      </w:pPr>
      <w:rPr>
        <w:rFonts w:ascii="Georgia" w:hAnsi="Georgia" w:hint="default"/>
      </w:rPr>
    </w:lvl>
    <w:lvl w:ilvl="3" w:tplc="C986A32A" w:tentative="1">
      <w:start w:val="1"/>
      <w:numFmt w:val="bullet"/>
      <w:lvlText w:val="•"/>
      <w:lvlJc w:val="left"/>
      <w:pPr>
        <w:tabs>
          <w:tab w:val="num" w:pos="2880"/>
        </w:tabs>
        <w:ind w:left="2880" w:hanging="360"/>
      </w:pPr>
      <w:rPr>
        <w:rFonts w:ascii="Georgia" w:hAnsi="Georgia" w:hint="default"/>
      </w:rPr>
    </w:lvl>
    <w:lvl w:ilvl="4" w:tplc="1CE60418" w:tentative="1">
      <w:start w:val="1"/>
      <w:numFmt w:val="bullet"/>
      <w:lvlText w:val="•"/>
      <w:lvlJc w:val="left"/>
      <w:pPr>
        <w:tabs>
          <w:tab w:val="num" w:pos="3600"/>
        </w:tabs>
        <w:ind w:left="3600" w:hanging="360"/>
      </w:pPr>
      <w:rPr>
        <w:rFonts w:ascii="Georgia" w:hAnsi="Georgia" w:hint="default"/>
      </w:rPr>
    </w:lvl>
    <w:lvl w:ilvl="5" w:tplc="521ED826" w:tentative="1">
      <w:start w:val="1"/>
      <w:numFmt w:val="bullet"/>
      <w:lvlText w:val="•"/>
      <w:lvlJc w:val="left"/>
      <w:pPr>
        <w:tabs>
          <w:tab w:val="num" w:pos="4320"/>
        </w:tabs>
        <w:ind w:left="4320" w:hanging="360"/>
      </w:pPr>
      <w:rPr>
        <w:rFonts w:ascii="Georgia" w:hAnsi="Georgia" w:hint="default"/>
      </w:rPr>
    </w:lvl>
    <w:lvl w:ilvl="6" w:tplc="BE880FEE" w:tentative="1">
      <w:start w:val="1"/>
      <w:numFmt w:val="bullet"/>
      <w:lvlText w:val="•"/>
      <w:lvlJc w:val="left"/>
      <w:pPr>
        <w:tabs>
          <w:tab w:val="num" w:pos="5040"/>
        </w:tabs>
        <w:ind w:left="5040" w:hanging="360"/>
      </w:pPr>
      <w:rPr>
        <w:rFonts w:ascii="Georgia" w:hAnsi="Georgia" w:hint="default"/>
      </w:rPr>
    </w:lvl>
    <w:lvl w:ilvl="7" w:tplc="69569A10" w:tentative="1">
      <w:start w:val="1"/>
      <w:numFmt w:val="bullet"/>
      <w:lvlText w:val="•"/>
      <w:lvlJc w:val="left"/>
      <w:pPr>
        <w:tabs>
          <w:tab w:val="num" w:pos="5760"/>
        </w:tabs>
        <w:ind w:left="5760" w:hanging="360"/>
      </w:pPr>
      <w:rPr>
        <w:rFonts w:ascii="Georgia" w:hAnsi="Georgia" w:hint="default"/>
      </w:rPr>
    </w:lvl>
    <w:lvl w:ilvl="8" w:tplc="CD3E801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33EC1369"/>
    <w:multiLevelType w:val="hybridMultilevel"/>
    <w:tmpl w:val="C722DEDC"/>
    <w:lvl w:ilvl="0" w:tplc="1760FC0E">
      <w:start w:val="1"/>
      <w:numFmt w:val="decimal"/>
      <w:lvlText w:val="7.%1"/>
      <w:lvlJc w:val="left"/>
      <w:pPr>
        <w:ind w:left="1260" w:hanging="360"/>
      </w:pPr>
      <w:rPr>
        <w:rFonts w:ascii="Calibri" w:hAnsi="Calibri"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7FD"/>
    <w:multiLevelType w:val="hybridMultilevel"/>
    <w:tmpl w:val="86060F50"/>
    <w:lvl w:ilvl="0" w:tplc="EC647758">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7370"/>
    <w:multiLevelType w:val="multilevel"/>
    <w:tmpl w:val="86060F50"/>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E1925"/>
    <w:multiLevelType w:val="hybridMultilevel"/>
    <w:tmpl w:val="AC8CE7DC"/>
    <w:lvl w:ilvl="0" w:tplc="AA2E3B98">
      <w:start w:val="1"/>
      <w:numFmt w:val="decimal"/>
      <w:lvlText w:val="4.%1"/>
      <w:lvlJc w:val="left"/>
      <w:pPr>
        <w:ind w:left="720" w:hanging="360"/>
      </w:pPr>
      <w:rPr>
        <w:rFonts w:ascii="Calibri" w:hAnsi="Calibri"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07CAC"/>
    <w:multiLevelType w:val="hybridMultilevel"/>
    <w:tmpl w:val="5F164AA8"/>
    <w:lvl w:ilvl="0" w:tplc="3B8CDE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B3462"/>
    <w:multiLevelType w:val="multilevel"/>
    <w:tmpl w:val="B7ACB9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F149AD"/>
    <w:multiLevelType w:val="multilevel"/>
    <w:tmpl w:val="D34CA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6120626">
    <w:abstractNumId w:val="3"/>
  </w:num>
  <w:num w:numId="2" w16cid:durableId="1491866611">
    <w:abstractNumId w:val="0"/>
  </w:num>
  <w:num w:numId="3" w16cid:durableId="483283190">
    <w:abstractNumId w:val="5"/>
  </w:num>
  <w:num w:numId="4" w16cid:durableId="1041829324">
    <w:abstractNumId w:val="10"/>
  </w:num>
  <w:num w:numId="5" w16cid:durableId="2057897328">
    <w:abstractNumId w:val="6"/>
  </w:num>
  <w:num w:numId="6" w16cid:durableId="829830624">
    <w:abstractNumId w:val="8"/>
  </w:num>
  <w:num w:numId="7" w16cid:durableId="986325843">
    <w:abstractNumId w:val="1"/>
  </w:num>
  <w:num w:numId="8" w16cid:durableId="411974603">
    <w:abstractNumId w:val="2"/>
  </w:num>
  <w:num w:numId="9" w16cid:durableId="99953517">
    <w:abstractNumId w:val="7"/>
  </w:num>
  <w:num w:numId="10" w16cid:durableId="1549025644">
    <w:abstractNumId w:val="9"/>
  </w:num>
  <w:num w:numId="11" w16cid:durableId="305548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0D"/>
    <w:rsid w:val="000059D2"/>
    <w:rsid w:val="00011367"/>
    <w:rsid w:val="00020105"/>
    <w:rsid w:val="000548DC"/>
    <w:rsid w:val="00066E18"/>
    <w:rsid w:val="00087B12"/>
    <w:rsid w:val="000C1CBD"/>
    <w:rsid w:val="000C1E0F"/>
    <w:rsid w:val="00111B38"/>
    <w:rsid w:val="00151241"/>
    <w:rsid w:val="001544B9"/>
    <w:rsid w:val="001620A9"/>
    <w:rsid w:val="0016638E"/>
    <w:rsid w:val="001D6CBD"/>
    <w:rsid w:val="001E017F"/>
    <w:rsid w:val="001F6449"/>
    <w:rsid w:val="00203BDA"/>
    <w:rsid w:val="00241362"/>
    <w:rsid w:val="00261675"/>
    <w:rsid w:val="002713FF"/>
    <w:rsid w:val="00273736"/>
    <w:rsid w:val="0027457A"/>
    <w:rsid w:val="002965C1"/>
    <w:rsid w:val="002A49E9"/>
    <w:rsid w:val="002E340D"/>
    <w:rsid w:val="003243D9"/>
    <w:rsid w:val="0032591D"/>
    <w:rsid w:val="00350DD0"/>
    <w:rsid w:val="003A7734"/>
    <w:rsid w:val="003B102D"/>
    <w:rsid w:val="003D0602"/>
    <w:rsid w:val="003F14CC"/>
    <w:rsid w:val="0042274F"/>
    <w:rsid w:val="00425BCE"/>
    <w:rsid w:val="004370C8"/>
    <w:rsid w:val="00444B35"/>
    <w:rsid w:val="004541FC"/>
    <w:rsid w:val="00475A7F"/>
    <w:rsid w:val="00475FC7"/>
    <w:rsid w:val="0047742D"/>
    <w:rsid w:val="00480691"/>
    <w:rsid w:val="0049134A"/>
    <w:rsid w:val="004A27C8"/>
    <w:rsid w:val="004A4D6E"/>
    <w:rsid w:val="004B73D4"/>
    <w:rsid w:val="004D7A1B"/>
    <w:rsid w:val="004E098F"/>
    <w:rsid w:val="00514BDB"/>
    <w:rsid w:val="00517C07"/>
    <w:rsid w:val="005346F1"/>
    <w:rsid w:val="005373C9"/>
    <w:rsid w:val="0053764E"/>
    <w:rsid w:val="00541689"/>
    <w:rsid w:val="00585D10"/>
    <w:rsid w:val="005B0CFB"/>
    <w:rsid w:val="005C6672"/>
    <w:rsid w:val="005D210D"/>
    <w:rsid w:val="005D38D5"/>
    <w:rsid w:val="005E0FF0"/>
    <w:rsid w:val="00641D51"/>
    <w:rsid w:val="00656FB9"/>
    <w:rsid w:val="00672DCB"/>
    <w:rsid w:val="006A76D7"/>
    <w:rsid w:val="006D384A"/>
    <w:rsid w:val="006E7D6E"/>
    <w:rsid w:val="006F7828"/>
    <w:rsid w:val="0071093B"/>
    <w:rsid w:val="00743DCB"/>
    <w:rsid w:val="007963D7"/>
    <w:rsid w:val="007B027E"/>
    <w:rsid w:val="007B18A5"/>
    <w:rsid w:val="007B1E4B"/>
    <w:rsid w:val="007D0422"/>
    <w:rsid w:val="00801A6C"/>
    <w:rsid w:val="00826674"/>
    <w:rsid w:val="00831E5F"/>
    <w:rsid w:val="00833025"/>
    <w:rsid w:val="00854088"/>
    <w:rsid w:val="008D3059"/>
    <w:rsid w:val="008E1B8B"/>
    <w:rsid w:val="008E29C7"/>
    <w:rsid w:val="008E31C7"/>
    <w:rsid w:val="00905830"/>
    <w:rsid w:val="009131A5"/>
    <w:rsid w:val="00916C48"/>
    <w:rsid w:val="00967A3E"/>
    <w:rsid w:val="00976C85"/>
    <w:rsid w:val="009934AC"/>
    <w:rsid w:val="009971F6"/>
    <w:rsid w:val="009A315B"/>
    <w:rsid w:val="009B15CF"/>
    <w:rsid w:val="009D4AB3"/>
    <w:rsid w:val="009E1A3B"/>
    <w:rsid w:val="009E4B17"/>
    <w:rsid w:val="009E5A2A"/>
    <w:rsid w:val="00A50777"/>
    <w:rsid w:val="00A60544"/>
    <w:rsid w:val="00A64F2E"/>
    <w:rsid w:val="00A91A61"/>
    <w:rsid w:val="00A97030"/>
    <w:rsid w:val="00AB71F0"/>
    <w:rsid w:val="00AC29B7"/>
    <w:rsid w:val="00AD566C"/>
    <w:rsid w:val="00AF567B"/>
    <w:rsid w:val="00B01A70"/>
    <w:rsid w:val="00B02FE2"/>
    <w:rsid w:val="00B055C8"/>
    <w:rsid w:val="00B40205"/>
    <w:rsid w:val="00B538A2"/>
    <w:rsid w:val="00B73798"/>
    <w:rsid w:val="00BB7DDC"/>
    <w:rsid w:val="00BC0963"/>
    <w:rsid w:val="00BC1BA6"/>
    <w:rsid w:val="00BD13F0"/>
    <w:rsid w:val="00C143D5"/>
    <w:rsid w:val="00C64F9E"/>
    <w:rsid w:val="00C70731"/>
    <w:rsid w:val="00C70D88"/>
    <w:rsid w:val="00C91865"/>
    <w:rsid w:val="00CB6A31"/>
    <w:rsid w:val="00CE7784"/>
    <w:rsid w:val="00D06CB7"/>
    <w:rsid w:val="00D26AF4"/>
    <w:rsid w:val="00D34C4A"/>
    <w:rsid w:val="00D66618"/>
    <w:rsid w:val="00D805B0"/>
    <w:rsid w:val="00D9747D"/>
    <w:rsid w:val="00DA5425"/>
    <w:rsid w:val="00DD0354"/>
    <w:rsid w:val="00DD25E2"/>
    <w:rsid w:val="00DD2A9C"/>
    <w:rsid w:val="00DD56CE"/>
    <w:rsid w:val="00E03214"/>
    <w:rsid w:val="00E14E04"/>
    <w:rsid w:val="00E16F3C"/>
    <w:rsid w:val="00E21460"/>
    <w:rsid w:val="00E7045F"/>
    <w:rsid w:val="00E733FE"/>
    <w:rsid w:val="00E7358D"/>
    <w:rsid w:val="00EB1A92"/>
    <w:rsid w:val="00EE5A68"/>
    <w:rsid w:val="00EE5D89"/>
    <w:rsid w:val="00EF3614"/>
    <w:rsid w:val="00F037F0"/>
    <w:rsid w:val="00F328CF"/>
    <w:rsid w:val="00F37AE6"/>
    <w:rsid w:val="00F515C0"/>
    <w:rsid w:val="00F64C84"/>
    <w:rsid w:val="00F702B2"/>
    <w:rsid w:val="00FA5E3B"/>
    <w:rsid w:val="00FB1795"/>
    <w:rsid w:val="00FE5B16"/>
    <w:rsid w:val="1778BBDF"/>
    <w:rsid w:val="378216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B17A7F"/>
  <w14:defaultImageDpi w14:val="300"/>
  <w15:docId w15:val="{B4208986-9A40-4255-A720-2251479E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67"/>
    <w:pPr>
      <w:spacing w:after="200" w:line="276" w:lineRule="auto"/>
    </w:pPr>
    <w:rPr>
      <w:rFonts w:ascii="Calibri" w:hAnsi="Calibri"/>
      <w:sz w:val="24"/>
      <w:szCs w:val="24"/>
      <w:lang w:eastAsia="en-US"/>
    </w:rPr>
  </w:style>
  <w:style w:type="paragraph" w:styleId="Heading1">
    <w:name w:val="heading 1"/>
    <w:basedOn w:val="Normal"/>
    <w:next w:val="Normal"/>
    <w:link w:val="Heading1Char"/>
    <w:uiPriority w:val="9"/>
    <w:qFormat/>
    <w:rsid w:val="00425BCE"/>
    <w:pPr>
      <w:keepNext/>
      <w:spacing w:before="240" w:after="60"/>
      <w:outlineLvl w:val="0"/>
    </w:pPr>
    <w:rPr>
      <w:rFonts w:eastAsia="MS Gothic"/>
      <w:b/>
      <w:bCs/>
      <w:kern w:val="32"/>
      <w:sz w:val="32"/>
      <w:szCs w:val="32"/>
      <w:lang w:val="x-none" w:eastAsia="x-none"/>
    </w:rPr>
  </w:style>
  <w:style w:type="paragraph" w:styleId="Heading2">
    <w:name w:val="heading 2"/>
    <w:basedOn w:val="Normal"/>
    <w:next w:val="Normal"/>
    <w:link w:val="Heading2Char"/>
    <w:uiPriority w:val="9"/>
    <w:unhideWhenUsed/>
    <w:qFormat/>
    <w:rsid w:val="00796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963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10D"/>
    <w:pPr>
      <w:autoSpaceDE w:val="0"/>
      <w:autoSpaceDN w:val="0"/>
      <w:adjustRightInd w:val="0"/>
    </w:pPr>
    <w:rPr>
      <w:rFonts w:ascii="Arial" w:hAnsi="Arial" w:cs="Arial"/>
      <w:color w:val="000000"/>
      <w:sz w:val="24"/>
      <w:szCs w:val="24"/>
      <w:lang w:eastAsia="en-US"/>
    </w:rPr>
  </w:style>
  <w:style w:type="paragraph" w:customStyle="1" w:styleId="c6">
    <w:name w:val="c6"/>
    <w:basedOn w:val="Normal"/>
    <w:rsid w:val="006A76D7"/>
    <w:pPr>
      <w:spacing w:before="100" w:beforeAutospacing="1" w:after="100" w:afterAutospacing="1" w:line="240" w:lineRule="auto"/>
    </w:pPr>
    <w:rPr>
      <w:rFonts w:eastAsia="Times New Roman"/>
    </w:rPr>
  </w:style>
  <w:style w:type="character" w:customStyle="1" w:styleId="c3">
    <w:name w:val="c3"/>
    <w:basedOn w:val="DefaultParagraphFont"/>
    <w:rsid w:val="006A76D7"/>
  </w:style>
  <w:style w:type="paragraph" w:customStyle="1" w:styleId="c7">
    <w:name w:val="c7"/>
    <w:basedOn w:val="Normal"/>
    <w:rsid w:val="006A76D7"/>
    <w:pPr>
      <w:spacing w:before="100" w:beforeAutospacing="1" w:after="100" w:afterAutospacing="1" w:line="240" w:lineRule="auto"/>
    </w:pPr>
    <w:rPr>
      <w:rFonts w:eastAsia="Times New Roman"/>
    </w:rPr>
  </w:style>
  <w:style w:type="paragraph" w:customStyle="1" w:styleId="MediumGrid1-Accent21">
    <w:name w:val="Medium Grid 1 - Accent 21"/>
    <w:basedOn w:val="Normal"/>
    <w:uiPriority w:val="34"/>
    <w:qFormat/>
    <w:rsid w:val="000548DC"/>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E704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045F"/>
    <w:rPr>
      <w:rFonts w:ascii="Tahoma" w:hAnsi="Tahoma" w:cs="Tahoma"/>
      <w:sz w:val="16"/>
      <w:szCs w:val="16"/>
    </w:rPr>
  </w:style>
  <w:style w:type="paragraph" w:styleId="Header">
    <w:name w:val="header"/>
    <w:basedOn w:val="Normal"/>
    <w:link w:val="HeaderChar"/>
    <w:uiPriority w:val="99"/>
    <w:unhideWhenUsed/>
    <w:rsid w:val="0051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07"/>
  </w:style>
  <w:style w:type="paragraph" w:styleId="Footer">
    <w:name w:val="footer"/>
    <w:basedOn w:val="Normal"/>
    <w:link w:val="FooterChar"/>
    <w:uiPriority w:val="99"/>
    <w:unhideWhenUsed/>
    <w:rsid w:val="0051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07"/>
  </w:style>
  <w:style w:type="character" w:styleId="Hyperlink">
    <w:name w:val="Hyperlink"/>
    <w:uiPriority w:val="99"/>
    <w:unhideWhenUsed/>
    <w:rsid w:val="00517C07"/>
    <w:rPr>
      <w:color w:val="0000FF"/>
      <w:u w:val="single"/>
    </w:rPr>
  </w:style>
  <w:style w:type="table" w:styleId="TableGrid">
    <w:name w:val="Table Grid"/>
    <w:basedOn w:val="TableNormal"/>
    <w:uiPriority w:val="59"/>
    <w:rsid w:val="004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25BCE"/>
    <w:rPr>
      <w:rFonts w:ascii="Calibri" w:eastAsia="MS Gothic" w:hAnsi="Calibri" w:cs="Times New Roman"/>
      <w:b/>
      <w:bCs/>
      <w:kern w:val="32"/>
      <w:sz w:val="32"/>
      <w:szCs w:val="32"/>
    </w:rPr>
  </w:style>
  <w:style w:type="paragraph" w:styleId="ListParagraph">
    <w:name w:val="List Paragraph"/>
    <w:basedOn w:val="Normal"/>
    <w:uiPriority w:val="34"/>
    <w:qFormat/>
    <w:rsid w:val="00273736"/>
    <w:pPr>
      <w:ind w:left="720"/>
      <w:contextualSpacing/>
    </w:pPr>
  </w:style>
  <w:style w:type="character" w:styleId="CommentReference">
    <w:name w:val="annotation reference"/>
    <w:basedOn w:val="DefaultParagraphFont"/>
    <w:uiPriority w:val="99"/>
    <w:semiHidden/>
    <w:unhideWhenUsed/>
    <w:rsid w:val="006E7D6E"/>
    <w:rPr>
      <w:sz w:val="16"/>
      <w:szCs w:val="16"/>
    </w:rPr>
  </w:style>
  <w:style w:type="paragraph" w:styleId="CommentText">
    <w:name w:val="annotation text"/>
    <w:basedOn w:val="Normal"/>
    <w:link w:val="CommentTextChar"/>
    <w:uiPriority w:val="99"/>
    <w:semiHidden/>
    <w:unhideWhenUsed/>
    <w:rsid w:val="006E7D6E"/>
    <w:pPr>
      <w:spacing w:line="240" w:lineRule="auto"/>
    </w:pPr>
    <w:rPr>
      <w:sz w:val="20"/>
      <w:szCs w:val="20"/>
    </w:rPr>
  </w:style>
  <w:style w:type="character" w:customStyle="1" w:styleId="CommentTextChar">
    <w:name w:val="Comment Text Char"/>
    <w:basedOn w:val="DefaultParagraphFont"/>
    <w:link w:val="CommentText"/>
    <w:uiPriority w:val="99"/>
    <w:semiHidden/>
    <w:rsid w:val="006E7D6E"/>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6E7D6E"/>
    <w:rPr>
      <w:b/>
      <w:bCs/>
    </w:rPr>
  </w:style>
  <w:style w:type="character" w:customStyle="1" w:styleId="CommentSubjectChar">
    <w:name w:val="Comment Subject Char"/>
    <w:basedOn w:val="CommentTextChar"/>
    <w:link w:val="CommentSubject"/>
    <w:uiPriority w:val="99"/>
    <w:semiHidden/>
    <w:rsid w:val="006E7D6E"/>
    <w:rPr>
      <w:rFonts w:ascii="Calibri" w:hAnsi="Calibri"/>
      <w:b/>
      <w:bCs/>
      <w:lang w:eastAsia="en-US"/>
    </w:rPr>
  </w:style>
  <w:style w:type="character" w:customStyle="1" w:styleId="Heading4Char">
    <w:name w:val="Heading 4 Char"/>
    <w:basedOn w:val="DefaultParagraphFont"/>
    <w:link w:val="Heading4"/>
    <w:uiPriority w:val="9"/>
    <w:rsid w:val="007963D7"/>
    <w:rPr>
      <w:rFonts w:asciiTheme="majorHAnsi" w:eastAsiaTheme="majorEastAsia" w:hAnsiTheme="majorHAnsi" w:cstheme="majorBidi"/>
      <w:i/>
      <w:iCs/>
      <w:color w:val="2E74B5" w:themeColor="accent1" w:themeShade="BF"/>
      <w:sz w:val="24"/>
      <w:szCs w:val="24"/>
      <w:lang w:eastAsia="en-US"/>
    </w:rPr>
  </w:style>
  <w:style w:type="character" w:customStyle="1" w:styleId="Heading2Char">
    <w:name w:val="Heading 2 Char"/>
    <w:basedOn w:val="DefaultParagraphFont"/>
    <w:link w:val="Heading2"/>
    <w:uiPriority w:val="9"/>
    <w:rsid w:val="007963D7"/>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5B0CFB"/>
    <w:rPr>
      <w:color w:val="605E5C"/>
      <w:shd w:val="clear" w:color="auto" w:fill="E1DFDD"/>
    </w:rPr>
  </w:style>
  <w:style w:type="character" w:styleId="FollowedHyperlink">
    <w:name w:val="FollowedHyperlink"/>
    <w:basedOn w:val="DefaultParagraphFont"/>
    <w:uiPriority w:val="99"/>
    <w:semiHidden/>
    <w:unhideWhenUsed/>
    <w:rsid w:val="005B0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522">
      <w:bodyDiv w:val="1"/>
      <w:marLeft w:val="0"/>
      <w:marRight w:val="0"/>
      <w:marTop w:val="0"/>
      <w:marBottom w:val="0"/>
      <w:divBdr>
        <w:top w:val="none" w:sz="0" w:space="0" w:color="auto"/>
        <w:left w:val="none" w:sz="0" w:space="0" w:color="auto"/>
        <w:bottom w:val="none" w:sz="0" w:space="0" w:color="auto"/>
        <w:right w:val="none" w:sz="0" w:space="0" w:color="auto"/>
      </w:divBdr>
    </w:div>
    <w:div w:id="1000084982">
      <w:bodyDiv w:val="1"/>
      <w:marLeft w:val="0"/>
      <w:marRight w:val="0"/>
      <w:marTop w:val="0"/>
      <w:marBottom w:val="0"/>
      <w:divBdr>
        <w:top w:val="none" w:sz="0" w:space="0" w:color="auto"/>
        <w:left w:val="none" w:sz="0" w:space="0" w:color="auto"/>
        <w:bottom w:val="none" w:sz="0" w:space="0" w:color="auto"/>
        <w:right w:val="none" w:sz="0" w:space="0" w:color="auto"/>
      </w:divBdr>
    </w:div>
    <w:div w:id="1238900759">
      <w:bodyDiv w:val="1"/>
      <w:marLeft w:val="0"/>
      <w:marRight w:val="0"/>
      <w:marTop w:val="0"/>
      <w:marBottom w:val="0"/>
      <w:divBdr>
        <w:top w:val="none" w:sz="0" w:space="0" w:color="auto"/>
        <w:left w:val="none" w:sz="0" w:space="0" w:color="auto"/>
        <w:bottom w:val="none" w:sz="0" w:space="0" w:color="auto"/>
        <w:right w:val="none" w:sz="0" w:space="0" w:color="auto"/>
      </w:divBdr>
    </w:div>
    <w:div w:id="2111462079">
      <w:bodyDiv w:val="1"/>
      <w:marLeft w:val="0"/>
      <w:marRight w:val="0"/>
      <w:marTop w:val="0"/>
      <w:marBottom w:val="0"/>
      <w:divBdr>
        <w:top w:val="none" w:sz="0" w:space="0" w:color="auto"/>
        <w:left w:val="none" w:sz="0" w:space="0" w:color="auto"/>
        <w:bottom w:val="none" w:sz="0" w:space="0" w:color="auto"/>
        <w:right w:val="none" w:sz="0" w:space="0" w:color="auto"/>
      </w:divBdr>
      <w:divsChild>
        <w:div w:id="111660609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niu.edu/student-success-tips" TargetMode="External"/><Relationship Id="rId18" Type="http://schemas.openxmlformats.org/officeDocument/2006/relationships/hyperlink" Target="http://www.niu.edu/disa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iu.edu/student-lif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t.niu.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rvicedesk@niu.edu" TargetMode="External"/><Relationship Id="rId20" Type="http://schemas.openxmlformats.org/officeDocument/2006/relationships/hyperlink" Target="https://niu.edu/academic-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niu.edu/student-life/" TargetMode="External"/><Relationship Id="rId23" Type="http://schemas.openxmlformats.org/officeDocument/2006/relationships/hyperlink" Target="https://niu.edu/career-services" TargetMode="External"/><Relationship Id="rId10" Type="http://schemas.openxmlformats.org/officeDocument/2006/relationships/footnotes" Target="footnotes.xml"/><Relationship Id="rId19" Type="http://schemas.openxmlformats.org/officeDocument/2006/relationships/hyperlink" Target="https://go.niu.edu/student-success-t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u.edu/academic-support" TargetMode="External"/><Relationship Id="rId22" Type="http://schemas.openxmlformats.org/officeDocument/2006/relationships/hyperlink" Target="https://niu.edu/student-affairs/departme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qmprogram.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8" ma:contentTypeDescription="Create a new document." ma:contentTypeScope="" ma:versionID="d104f97685af1c166c0b6a018fa50acb">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8abbde402d59088c289792198b3c4347"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23af1d-21fa-4036-976f-eceee9e4e0d8}" ma:internalName="TaxCatchAll" ma:showField="CatchAllData" ma:web="26949d43-bfb5-4e08-b5a1-9898985fe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949d43-bfb5-4e08-b5a1-9898985fe948">
      <UserInfo>
        <DisplayName/>
        <AccountId xsi:nil="true"/>
        <AccountType/>
      </UserInfo>
    </SharedWithUsers>
    <TaxCatchAll xmlns="26949d43-bfb5-4e08-b5a1-9898985fe948" xsi:nil="true"/>
    <lcf76f155ced4ddcb4097134ff3c332f xmlns="23b68316-c187-4dff-afb3-088c2e14e22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C329-64B8-4948-B6CD-2E034A268F96}">
  <ds:schemaRefs>
    <ds:schemaRef ds:uri="http://schemas.microsoft.com/sharepoint/v3/contenttype/forms"/>
  </ds:schemaRefs>
</ds:datastoreItem>
</file>

<file path=customXml/itemProps2.xml><?xml version="1.0" encoding="utf-8"?>
<ds:datastoreItem xmlns:ds="http://schemas.openxmlformats.org/officeDocument/2006/customXml" ds:itemID="{BF259FBD-0414-462A-9B43-6D82675CB0EE}">
  <ds:schemaRefs>
    <ds:schemaRef ds:uri="http://schemas.microsoft.com/office/2006/metadata/longProperties"/>
  </ds:schemaRefs>
</ds:datastoreItem>
</file>

<file path=customXml/itemProps3.xml><?xml version="1.0" encoding="utf-8"?>
<ds:datastoreItem xmlns:ds="http://schemas.openxmlformats.org/officeDocument/2006/customXml" ds:itemID="{8C56518F-CBA7-41E5-BBAF-529545C4E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5F842-F2E4-40FA-8A02-D98B5C30A144}">
  <ds:schemaRefs>
    <ds:schemaRef ds:uri="http://schemas.microsoft.com/office/2006/metadata/properties"/>
    <ds:schemaRef ds:uri="http://schemas.microsoft.com/office/infopath/2007/PartnerControls"/>
    <ds:schemaRef ds:uri="26949d43-bfb5-4e08-b5a1-9898985fe948"/>
    <ds:schemaRef ds:uri="23b68316-c187-4dff-afb3-088c2e14e22e"/>
  </ds:schemaRefs>
</ds:datastoreItem>
</file>

<file path=customXml/itemProps5.xml><?xml version="1.0" encoding="utf-8"?>
<ds:datastoreItem xmlns:ds="http://schemas.openxmlformats.org/officeDocument/2006/customXml" ds:itemID="{3788ED04-E667-4876-A90C-BF8F7B1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FacDev</dc:creator>
  <cp:keywords/>
  <cp:lastModifiedBy>Jason Rhode</cp:lastModifiedBy>
  <cp:revision>5</cp:revision>
  <cp:lastPrinted>2020-07-10T14:54:00Z</cp:lastPrinted>
  <dcterms:created xsi:type="dcterms:W3CDTF">2023-10-02T09:07:00Z</dcterms:created>
  <dcterms:modified xsi:type="dcterms:W3CDTF">2023-10-02T09:58:00Z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0x0101000EF52B77AD580044AB850E8DD5B20566</vt:lpwstr>
  </property>
</Properties>
</file>