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C07A" w14:textId="5CFCE9D7" w:rsidR="00425BCE" w:rsidRPr="005346F1" w:rsidRDefault="00FA5E3B" w:rsidP="002A49E9">
      <w:pPr>
        <w:pStyle w:val="Heading1"/>
        <w:spacing w:after="0"/>
        <w:jc w:val="center"/>
        <w:rPr>
          <w:rFonts w:ascii="Arial" w:hAnsi="Arial" w:cs="Arial"/>
        </w:rPr>
      </w:pPr>
      <w:r w:rsidRPr="005346F1">
        <w:rPr>
          <w:rFonts w:ascii="Arial" w:hAnsi="Arial" w:cs="Arial"/>
        </w:rPr>
        <w:t xml:space="preserve">Checklist for </w:t>
      </w:r>
      <w:r w:rsidR="004541FC" w:rsidRPr="005346F1">
        <w:rPr>
          <w:rFonts w:ascii="Arial" w:hAnsi="Arial" w:cs="Arial"/>
        </w:rPr>
        <w:t xml:space="preserve">Meeting </w:t>
      </w:r>
      <w:r w:rsidR="00B055C8">
        <w:rPr>
          <w:rFonts w:ascii="Arial" w:hAnsi="Arial" w:cs="Arial"/>
        </w:rPr>
        <w:t xml:space="preserve">Quality Matters Standard </w:t>
      </w:r>
      <w:r w:rsidR="00203BDA">
        <w:rPr>
          <w:rFonts w:ascii="Arial" w:hAnsi="Arial" w:cs="Arial"/>
          <w:lang w:val="en-US"/>
        </w:rPr>
        <w:t>4</w:t>
      </w:r>
    </w:p>
    <w:p w14:paraId="0FD7AB52" w14:textId="0331BC22" w:rsidR="00425BCE" w:rsidRPr="00203BDA" w:rsidRDefault="00203BDA" w:rsidP="002A49E9">
      <w:pPr>
        <w:pStyle w:val="Heading1"/>
        <w:spacing w:before="0" w:after="180"/>
        <w:jc w:val="center"/>
        <w:rPr>
          <w:rFonts w:ascii="Arial" w:hAnsi="Arial" w:cs="Arial"/>
          <w:bCs w:val="0"/>
          <w:iCs/>
          <w:sz w:val="24"/>
          <w:szCs w:val="24"/>
          <w:lang w:val="en-US"/>
        </w:rPr>
      </w:pPr>
      <w:r>
        <w:rPr>
          <w:rFonts w:ascii="Arial" w:hAnsi="Arial" w:cs="Arial"/>
          <w:bCs w:val="0"/>
          <w:iCs/>
          <w:sz w:val="24"/>
          <w:szCs w:val="24"/>
          <w:lang w:val="en-US"/>
        </w:rPr>
        <w:t>Instructional Materials</w:t>
      </w: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480691" w:rsidRPr="00A91A61" w14:paraId="6C44AB60" w14:textId="77777777" w:rsidTr="00273736">
        <w:trPr>
          <w:jc w:val="center"/>
        </w:trPr>
        <w:tc>
          <w:tcPr>
            <w:tcW w:w="9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9E9374C" w14:textId="6031ACDC" w:rsidR="000059D2" w:rsidRDefault="001F6449" w:rsidP="001F64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14" w:hanging="360"/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85AD11" wp14:editId="0395333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164592" cy="164592"/>
                  <wp:effectExtent l="0" t="0" r="635" b="635"/>
                  <wp:wrapNone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</w:t>
            </w:r>
            <w:r w:rsidR="00203BDA">
              <w:t>4</w:t>
            </w:r>
            <w:r w:rsidR="000059D2">
              <w:t xml:space="preserve">.1 </w:t>
            </w:r>
            <w:r w:rsidR="003F3868" w:rsidRPr="003F3868">
              <w:t>The instructional materials contribute to the achievement of the stated learning</w:t>
            </w:r>
            <w:r w:rsidR="003F3868">
              <w:t xml:space="preserve">     </w:t>
            </w:r>
            <w:r w:rsidR="003F3868">
              <w:br/>
              <w:t xml:space="preserve">     </w:t>
            </w:r>
            <w:r w:rsidR="003F3868" w:rsidRPr="003F3868">
              <w:t>objectives.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275B268" wp14:editId="4EA68A9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164592" cy="164592"/>
                  <wp:effectExtent l="0" t="0" r="635" b="635"/>
                  <wp:wrapNone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AB7E2C" w14:textId="34F5313F" w:rsidR="00203BDA" w:rsidRDefault="001F6449" w:rsidP="006D3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324" w:hanging="270"/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A3E9F3A" wp14:editId="6620637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164592" cy="164592"/>
                  <wp:effectExtent l="0" t="0" r="635" b="635"/>
                  <wp:wrapNone/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</w:t>
            </w:r>
            <w:r w:rsidR="00203BDA">
              <w:t>4</w:t>
            </w:r>
            <w:r w:rsidR="000059D2" w:rsidRPr="00B60559">
              <w:t>.</w:t>
            </w:r>
            <w:r w:rsidR="006D384A">
              <w:t>2</w:t>
            </w:r>
            <w:r w:rsidR="000059D2" w:rsidRPr="00B60559">
              <w:t xml:space="preserve"> </w:t>
            </w:r>
            <w:r w:rsidR="003F3868" w:rsidRPr="003F3868">
              <w:t xml:space="preserve">The relationship between the use of instructional materials in the course and completion </w:t>
            </w:r>
            <w:r w:rsidR="003F3868">
              <w:br/>
              <w:t xml:space="preserve">       </w:t>
            </w:r>
            <w:r w:rsidR="003F3868" w:rsidRPr="003F3868">
              <w:t>of learning activities and assessments is clearly explained.</w:t>
            </w:r>
          </w:p>
          <w:p w14:paraId="1295C883" w14:textId="29EFF70B" w:rsidR="006D384A" w:rsidRDefault="00203BDA" w:rsidP="006D3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324" w:hanging="270"/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7959ED4" wp14:editId="11FAE89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164592" cy="164592"/>
                  <wp:effectExtent l="0" t="0" r="635" b="635"/>
                  <wp:wrapNone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4</w:t>
            </w:r>
            <w:r w:rsidR="000059D2" w:rsidRPr="00B60559">
              <w:t>.</w:t>
            </w:r>
            <w:r w:rsidR="006D384A">
              <w:t>3</w:t>
            </w:r>
            <w:r w:rsidR="000059D2" w:rsidRPr="00B60559">
              <w:t xml:space="preserve"> </w:t>
            </w:r>
            <w:r w:rsidR="003F3868" w:rsidRPr="003F3868">
              <w:t xml:space="preserve">The course models the academic integrity expected of learners by providing both source </w:t>
            </w:r>
            <w:r w:rsidR="003F3868">
              <w:br/>
              <w:t xml:space="preserve">       </w:t>
            </w:r>
            <w:r w:rsidR="003F3868" w:rsidRPr="003F3868">
              <w:t>references and permissions for use of instructional materials.</w:t>
            </w:r>
          </w:p>
          <w:p w14:paraId="07F70011" w14:textId="249DF10F" w:rsidR="001F6449" w:rsidRPr="006D384A" w:rsidRDefault="006D384A" w:rsidP="006D3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324" w:hanging="270"/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7028E91" wp14:editId="482439B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164592" cy="164592"/>
                  <wp:effectExtent l="0" t="0" r="635" b="635"/>
                  <wp:wrapNone/>
                  <wp:docPr id="14" name="Picture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color w:val="181717"/>
              </w:rPr>
              <w:t xml:space="preserve">     </w:t>
            </w:r>
            <w:r w:rsidR="00203BDA">
              <w:rPr>
                <w:rFonts w:cstheme="minorHAnsi"/>
                <w:color w:val="181717"/>
              </w:rPr>
              <w:t>4</w:t>
            </w:r>
            <w:r w:rsidRPr="006D384A">
              <w:rPr>
                <w:rFonts w:asciiTheme="minorHAnsi" w:hAnsiTheme="minorHAnsi" w:cstheme="minorHAnsi"/>
                <w:color w:val="181717"/>
              </w:rPr>
              <w:t>.4</w:t>
            </w:r>
            <w:r w:rsidRPr="006D384A">
              <w:rPr>
                <w:rFonts w:asciiTheme="minorHAnsi" w:hAnsiTheme="minorHAnsi" w:cstheme="minorHAnsi"/>
                <w:color w:val="181717"/>
              </w:rPr>
              <w:tab/>
            </w:r>
            <w:r w:rsidR="00203BDA" w:rsidRPr="00203BDA">
              <w:rPr>
                <w:rFonts w:asciiTheme="minorHAnsi" w:hAnsiTheme="minorHAnsi" w:cstheme="minorHAnsi"/>
                <w:color w:val="181717"/>
              </w:rPr>
              <w:t>The instructional materials represent up-to-date theory and practice in the discipline.</w:t>
            </w:r>
          </w:p>
          <w:p w14:paraId="52198642" w14:textId="0071A80B" w:rsidR="00F702B2" w:rsidRPr="001F6449" w:rsidRDefault="00203BDA" w:rsidP="006D3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324" w:hanging="270"/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ADDC730" wp14:editId="092F733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164592" cy="164592"/>
                  <wp:effectExtent l="0" t="0" r="635" b="635"/>
                  <wp:wrapNone/>
                  <wp:docPr id="7" name="Pictur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6449">
              <w:t xml:space="preserve">     </w:t>
            </w:r>
            <w:r w:rsidR="003F3868">
              <w:t>4</w:t>
            </w:r>
            <w:r w:rsidR="006D384A">
              <w:t xml:space="preserve">.5 </w:t>
            </w:r>
            <w:r w:rsidRPr="00203BDA">
              <w:t>A variety of instructional materials is used in the course.</w:t>
            </w:r>
          </w:p>
        </w:tc>
      </w:tr>
    </w:tbl>
    <w:p w14:paraId="672CE344" w14:textId="77777777" w:rsidR="00480691" w:rsidRPr="00BD13F0" w:rsidRDefault="00480691" w:rsidP="002A49E9">
      <w:pPr>
        <w:pStyle w:val="Default"/>
        <w:spacing w:before="60" w:after="60"/>
        <w:rPr>
          <w:b/>
          <w:bCs/>
          <w:iCs/>
          <w:sz w:val="4"/>
        </w:rPr>
      </w:pPr>
    </w:p>
    <w:p w14:paraId="7B25BA41" w14:textId="77777777" w:rsidR="00BD13F0" w:rsidRPr="00BD13F0" w:rsidRDefault="00BD13F0" w:rsidP="002A49E9">
      <w:pPr>
        <w:pStyle w:val="Default"/>
        <w:spacing w:before="60" w:after="60"/>
        <w:rPr>
          <w:rFonts w:asciiTheme="minorHAnsi" w:hAnsiTheme="minorHAnsi"/>
          <w:b/>
          <w:bCs/>
          <w:iCs/>
          <w:sz w:val="4"/>
        </w:rPr>
      </w:pPr>
    </w:p>
    <w:tbl>
      <w:tblPr>
        <w:tblW w:w="9630" w:type="dxa"/>
        <w:tblInd w:w="-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9180"/>
      </w:tblGrid>
      <w:tr w:rsidR="00273736" w:rsidRPr="005346F1" w14:paraId="6130D357" w14:textId="77777777" w:rsidTr="001F6449">
        <w:tc>
          <w:tcPr>
            <w:tcW w:w="9630" w:type="dxa"/>
            <w:gridSpan w:val="2"/>
            <w:shd w:val="clear" w:color="auto" w:fill="000000"/>
          </w:tcPr>
          <w:p w14:paraId="2FFEE8AC" w14:textId="21CEFBF7" w:rsidR="00273736" w:rsidRPr="00A91A61" w:rsidRDefault="00203BDA" w:rsidP="00A53DA9">
            <w:pPr>
              <w:pStyle w:val="c6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Designing Instructional Materials</w:t>
            </w:r>
          </w:p>
        </w:tc>
      </w:tr>
      <w:tr w:rsidR="00273736" w:rsidRPr="005346F1" w14:paraId="3693E473" w14:textId="77777777" w:rsidTr="009E5A2A">
        <w:tc>
          <w:tcPr>
            <w:tcW w:w="450" w:type="dxa"/>
            <w:tcBorders>
              <w:right w:val="single" w:sz="4" w:space="0" w:color="FFFFFF"/>
            </w:tcBorders>
            <w:shd w:val="clear" w:color="auto" w:fill="auto"/>
          </w:tcPr>
          <w:p w14:paraId="2928AE0A" w14:textId="77777777" w:rsidR="00273736" w:rsidRPr="005346F1" w:rsidRDefault="00273736" w:rsidP="00A53DA9">
            <w:pPr>
              <w:pStyle w:val="c7"/>
              <w:jc w:val="center"/>
              <w:rPr>
                <w:rFonts w:ascii="Arial" w:hAnsi="Arial" w:cs="Arial"/>
              </w:rPr>
            </w:pPr>
            <w:r w:rsidRPr="005346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180" w:type="dxa"/>
            <w:tcBorders>
              <w:left w:val="single" w:sz="4" w:space="0" w:color="FFFFFF"/>
            </w:tcBorders>
            <w:shd w:val="clear" w:color="auto" w:fill="auto"/>
          </w:tcPr>
          <w:p w14:paraId="18A96BA9" w14:textId="4C2A4A09" w:rsidR="00273736" w:rsidRPr="00A91A61" w:rsidRDefault="00203BDA" w:rsidP="004A27C8">
            <w:pPr>
              <w:pStyle w:val="c6"/>
              <w:rPr>
                <w:rFonts w:cs="Arial"/>
              </w:rPr>
            </w:pPr>
            <w:r>
              <w:rPr>
                <w:rFonts w:cs="Arial"/>
              </w:rPr>
              <w:t>Explain the purpose of instructional materials so students</w:t>
            </w:r>
            <w:r w:rsidRPr="00A91A6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understand why and how to use the materials (4.2</w:t>
            </w:r>
            <w:r w:rsidRPr="00A91A61">
              <w:rPr>
                <w:rFonts w:cs="Arial"/>
              </w:rPr>
              <w:t>)</w:t>
            </w:r>
          </w:p>
        </w:tc>
      </w:tr>
      <w:tr w:rsidR="00273736" w:rsidRPr="005346F1" w14:paraId="1EC9FD1B" w14:textId="77777777" w:rsidTr="009E5A2A">
        <w:tc>
          <w:tcPr>
            <w:tcW w:w="450" w:type="dxa"/>
            <w:tcBorders>
              <w:right w:val="single" w:sz="4" w:space="0" w:color="FFFFFF"/>
            </w:tcBorders>
            <w:shd w:val="clear" w:color="auto" w:fill="auto"/>
          </w:tcPr>
          <w:p w14:paraId="62AFD024" w14:textId="77777777" w:rsidR="00273736" w:rsidRPr="005346F1" w:rsidRDefault="00273736" w:rsidP="00A53DA9">
            <w:pPr>
              <w:pStyle w:val="c7"/>
              <w:jc w:val="center"/>
              <w:rPr>
                <w:rFonts w:ascii="Arial" w:hAnsi="Arial" w:cs="Arial"/>
              </w:rPr>
            </w:pPr>
            <w:r w:rsidRPr="005346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180" w:type="dxa"/>
            <w:tcBorders>
              <w:left w:val="single" w:sz="4" w:space="0" w:color="FFFFFF"/>
            </w:tcBorders>
            <w:shd w:val="clear" w:color="auto" w:fill="auto"/>
          </w:tcPr>
          <w:p w14:paraId="0DD0D00B" w14:textId="1A2B73BF" w:rsidR="00273736" w:rsidRPr="00A91A61" w:rsidRDefault="00203BDA" w:rsidP="00F702B2">
            <w:pPr>
              <w:pStyle w:val="c6"/>
              <w:rPr>
                <w:rFonts w:cs="Arial"/>
              </w:rPr>
            </w:pPr>
            <w:r>
              <w:rPr>
                <w:rFonts w:cs="Arial"/>
              </w:rPr>
              <w:t>For each module, the sequence of instructional materials and learning activities is obvious (4.2)</w:t>
            </w:r>
          </w:p>
        </w:tc>
      </w:tr>
      <w:tr w:rsidR="00FB1795" w:rsidRPr="005346F1" w14:paraId="0776AE91" w14:textId="77777777" w:rsidTr="009E5A2A">
        <w:tc>
          <w:tcPr>
            <w:tcW w:w="450" w:type="dxa"/>
            <w:tcBorders>
              <w:right w:val="single" w:sz="4" w:space="0" w:color="FFFFFF"/>
            </w:tcBorders>
            <w:shd w:val="clear" w:color="auto" w:fill="auto"/>
          </w:tcPr>
          <w:p w14:paraId="11817452" w14:textId="218C6A8A" w:rsidR="00FB1795" w:rsidRPr="005346F1" w:rsidRDefault="00FB1795" w:rsidP="00A53DA9">
            <w:pPr>
              <w:pStyle w:val="c7"/>
              <w:jc w:val="center"/>
              <w:rPr>
                <w:rFonts w:ascii="Arial" w:hAnsi="Arial" w:cs="Arial"/>
              </w:rPr>
            </w:pPr>
            <w:r w:rsidRPr="005346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180" w:type="dxa"/>
            <w:tcBorders>
              <w:left w:val="single" w:sz="4" w:space="0" w:color="FFFFFF"/>
            </w:tcBorders>
            <w:shd w:val="clear" w:color="auto" w:fill="auto"/>
          </w:tcPr>
          <w:p w14:paraId="2E582B02" w14:textId="6EE34759" w:rsidR="00FB1795" w:rsidRDefault="00203BDA" w:rsidP="00FB1795">
            <w:pPr>
              <w:pStyle w:val="c6"/>
              <w:rPr>
                <w:rFonts w:asciiTheme="minorHAnsi" w:eastAsia="Arial" w:hAnsiTheme="minorHAnsi" w:cs="Arial"/>
              </w:rPr>
            </w:pPr>
            <w:r>
              <w:rPr>
                <w:rFonts w:cs="Arial"/>
              </w:rPr>
              <w:t>If students will be finding their own resources, provide guidelines for how students should evaluate and select resources (4.3)</w:t>
            </w:r>
          </w:p>
        </w:tc>
      </w:tr>
      <w:tr w:rsidR="001E017F" w:rsidRPr="005346F1" w14:paraId="46E3A150" w14:textId="77777777" w:rsidTr="009E5A2A">
        <w:tc>
          <w:tcPr>
            <w:tcW w:w="450" w:type="dxa"/>
            <w:tcBorders>
              <w:right w:val="single" w:sz="4" w:space="0" w:color="FFFFFF"/>
            </w:tcBorders>
            <w:shd w:val="clear" w:color="auto" w:fill="auto"/>
          </w:tcPr>
          <w:p w14:paraId="0C580450" w14:textId="77777777" w:rsidR="001E017F" w:rsidRPr="005346F1" w:rsidRDefault="001E017F" w:rsidP="001E017F">
            <w:pPr>
              <w:pStyle w:val="c7"/>
              <w:jc w:val="center"/>
              <w:rPr>
                <w:rFonts w:ascii="Arial" w:hAnsi="Arial" w:cs="Arial"/>
              </w:rPr>
            </w:pPr>
            <w:r w:rsidRPr="005346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180" w:type="dxa"/>
            <w:tcBorders>
              <w:left w:val="single" w:sz="4" w:space="0" w:color="FFFFFF"/>
            </w:tcBorders>
            <w:shd w:val="clear" w:color="auto" w:fill="auto"/>
          </w:tcPr>
          <w:p w14:paraId="27AA2F41" w14:textId="770ACD9A" w:rsidR="001E017F" w:rsidRPr="00A91A61" w:rsidRDefault="00203BDA" w:rsidP="001E017F">
            <w:pPr>
              <w:pStyle w:val="c6"/>
              <w:rPr>
                <w:rFonts w:cs="Arial"/>
              </w:rPr>
            </w:pPr>
            <w:r>
              <w:rPr>
                <w:rFonts w:cs="Arial"/>
              </w:rPr>
              <w:t>Provide appropriate academic citations for instructional materials (4.3)</w:t>
            </w:r>
          </w:p>
        </w:tc>
      </w:tr>
      <w:tr w:rsidR="001E017F" w:rsidRPr="005346F1" w14:paraId="7107F720" w14:textId="77777777" w:rsidTr="009E5A2A">
        <w:tc>
          <w:tcPr>
            <w:tcW w:w="450" w:type="dxa"/>
            <w:tcBorders>
              <w:right w:val="single" w:sz="4" w:space="0" w:color="FFFFFF"/>
            </w:tcBorders>
            <w:shd w:val="clear" w:color="auto" w:fill="auto"/>
          </w:tcPr>
          <w:p w14:paraId="25B04598" w14:textId="77777777" w:rsidR="001E017F" w:rsidRPr="005346F1" w:rsidRDefault="001E017F" w:rsidP="001E017F">
            <w:pPr>
              <w:pStyle w:val="c7"/>
              <w:jc w:val="center"/>
              <w:rPr>
                <w:rFonts w:ascii="Arial" w:hAnsi="Arial" w:cs="Arial"/>
              </w:rPr>
            </w:pPr>
            <w:r w:rsidRPr="005346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180" w:type="dxa"/>
            <w:tcBorders>
              <w:left w:val="single" w:sz="4" w:space="0" w:color="FFFFFF"/>
            </w:tcBorders>
            <w:shd w:val="clear" w:color="auto" w:fill="auto"/>
          </w:tcPr>
          <w:p w14:paraId="766A8F4A" w14:textId="0896C662" w:rsidR="001E017F" w:rsidRPr="00A91A61" w:rsidRDefault="00203BDA" w:rsidP="001E017F">
            <w:pPr>
              <w:pStyle w:val="c6"/>
              <w:rPr>
                <w:rFonts w:cs="Arial"/>
              </w:rPr>
            </w:pPr>
            <w:r>
              <w:rPr>
                <w:rFonts w:cs="Arial"/>
              </w:rPr>
              <w:t>Instructional materials are current and represent up-to-date practice in the field, or are historical or seminal to the discipline (4.4)</w:t>
            </w:r>
          </w:p>
        </w:tc>
      </w:tr>
      <w:tr w:rsidR="00203BDA" w:rsidRPr="005346F1" w14:paraId="457D0E62" w14:textId="77777777" w:rsidTr="009E5A2A">
        <w:tc>
          <w:tcPr>
            <w:tcW w:w="450" w:type="dxa"/>
            <w:tcBorders>
              <w:right w:val="single" w:sz="4" w:space="0" w:color="FFFFFF"/>
            </w:tcBorders>
            <w:shd w:val="clear" w:color="auto" w:fill="auto"/>
          </w:tcPr>
          <w:p w14:paraId="59A08088" w14:textId="77777777" w:rsidR="00203BDA" w:rsidRPr="005346F1" w:rsidRDefault="00203BDA" w:rsidP="00203BDA">
            <w:pPr>
              <w:pStyle w:val="c6"/>
              <w:jc w:val="center"/>
              <w:rPr>
                <w:rStyle w:val="c3"/>
                <w:rFonts w:ascii="Arial" w:hAnsi="Arial" w:cs="Arial"/>
                <w:color w:val="000000"/>
              </w:rPr>
            </w:pPr>
            <w:r w:rsidRPr="005346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180" w:type="dxa"/>
            <w:tcBorders>
              <w:left w:val="single" w:sz="4" w:space="0" w:color="FFFFFF"/>
            </w:tcBorders>
            <w:shd w:val="clear" w:color="auto" w:fill="auto"/>
          </w:tcPr>
          <w:p w14:paraId="7D6FCF9F" w14:textId="75E52002" w:rsidR="00203BDA" w:rsidRPr="00A91A61" w:rsidRDefault="00203BDA" w:rsidP="00203BDA">
            <w:pPr>
              <w:pStyle w:val="c6"/>
              <w:rPr>
                <w:rFonts w:cs="Arial"/>
                <w:noProof/>
              </w:rPr>
            </w:pPr>
            <w:r>
              <w:rPr>
                <w:rFonts w:cs="Arial"/>
              </w:rPr>
              <w:t>The instructional materials represent diverse perspectives (4.5)</w:t>
            </w:r>
          </w:p>
        </w:tc>
      </w:tr>
      <w:tr w:rsidR="00203BDA" w:rsidRPr="005346F1" w14:paraId="67E5D8BD" w14:textId="77777777" w:rsidTr="009E5A2A">
        <w:tc>
          <w:tcPr>
            <w:tcW w:w="450" w:type="dxa"/>
            <w:tcBorders>
              <w:right w:val="single" w:sz="4" w:space="0" w:color="FFFFFF"/>
            </w:tcBorders>
            <w:shd w:val="clear" w:color="auto" w:fill="auto"/>
          </w:tcPr>
          <w:p w14:paraId="130CA3E7" w14:textId="2956B0F5" w:rsidR="00203BDA" w:rsidRPr="005346F1" w:rsidRDefault="00203BDA" w:rsidP="00203BDA">
            <w:pPr>
              <w:pStyle w:val="c6"/>
              <w:jc w:val="center"/>
              <w:rPr>
                <w:rFonts w:ascii="Arial" w:hAnsi="Arial" w:cs="Arial"/>
              </w:rPr>
            </w:pPr>
            <w:r w:rsidRPr="005346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180" w:type="dxa"/>
            <w:tcBorders>
              <w:left w:val="single" w:sz="4" w:space="0" w:color="FFFFFF"/>
            </w:tcBorders>
            <w:shd w:val="clear" w:color="auto" w:fill="auto"/>
          </w:tcPr>
          <w:p w14:paraId="66F88A7D" w14:textId="18056464" w:rsidR="00203BDA" w:rsidRDefault="00203BDA" w:rsidP="00203BDA">
            <w:pPr>
              <w:pStyle w:val="c6"/>
              <w:rPr>
                <w:rFonts w:cs="Arial"/>
              </w:rPr>
            </w:pPr>
            <w:r>
              <w:rPr>
                <w:rFonts w:cs="Arial"/>
              </w:rPr>
              <w:t>The instructional materials offer student choice and multiple modalities (4.5)</w:t>
            </w:r>
          </w:p>
        </w:tc>
      </w:tr>
      <w:tr w:rsidR="00203BDA" w:rsidRPr="005346F1" w14:paraId="77A86E6E" w14:textId="77777777" w:rsidTr="009E5A2A">
        <w:tc>
          <w:tcPr>
            <w:tcW w:w="450" w:type="dxa"/>
            <w:tcBorders>
              <w:right w:val="single" w:sz="4" w:space="0" w:color="FFFFFF"/>
            </w:tcBorders>
            <w:shd w:val="clear" w:color="auto" w:fill="auto"/>
          </w:tcPr>
          <w:p w14:paraId="20D3DA7D" w14:textId="10DFD976" w:rsidR="00203BDA" w:rsidRPr="005346F1" w:rsidRDefault="00203BDA" w:rsidP="00203BDA">
            <w:pPr>
              <w:pStyle w:val="c6"/>
              <w:jc w:val="center"/>
              <w:rPr>
                <w:rFonts w:ascii="Arial" w:hAnsi="Arial" w:cs="Arial"/>
              </w:rPr>
            </w:pPr>
            <w:r w:rsidRPr="005346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180" w:type="dxa"/>
            <w:tcBorders>
              <w:left w:val="single" w:sz="4" w:space="0" w:color="FFFFFF"/>
            </w:tcBorders>
            <w:shd w:val="clear" w:color="auto" w:fill="auto"/>
          </w:tcPr>
          <w:p w14:paraId="7A71B7E3" w14:textId="76A64713" w:rsidR="00203BDA" w:rsidRDefault="00203BDA" w:rsidP="00203BDA">
            <w:pPr>
              <w:pStyle w:val="c6"/>
              <w:rPr>
                <w:rFonts w:cs="Arial"/>
              </w:rPr>
            </w:pPr>
            <w:r w:rsidRPr="004A4D6E">
              <w:rPr>
                <w:rFonts w:asciiTheme="minorHAnsi" w:eastAsia="Arial" w:hAnsiTheme="minorHAnsi" w:cs="Arial"/>
              </w:rPr>
              <w:t>If offered, optional materials are clearly marked</w:t>
            </w:r>
            <w:r>
              <w:rPr>
                <w:rFonts w:asciiTheme="minorHAnsi" w:eastAsia="Arial" w:hAnsiTheme="minorHAnsi" w:cs="Arial"/>
              </w:rPr>
              <w:t xml:space="preserve"> and relevance to learning activities clearly explained.</w:t>
            </w:r>
            <w:r w:rsidRPr="004A4D6E">
              <w:rPr>
                <w:rFonts w:asciiTheme="minorHAnsi" w:eastAsia="Arial" w:hAnsiTheme="minorHAnsi" w:cs="Arial"/>
              </w:rPr>
              <w:t xml:space="preserve"> (4.</w:t>
            </w:r>
            <w:r>
              <w:rPr>
                <w:rFonts w:asciiTheme="minorHAnsi" w:eastAsia="Arial" w:hAnsiTheme="minorHAnsi" w:cs="Arial"/>
              </w:rPr>
              <w:t>2</w:t>
            </w:r>
            <w:r w:rsidRPr="004A4D6E">
              <w:rPr>
                <w:rFonts w:asciiTheme="minorHAnsi" w:eastAsia="Arial" w:hAnsiTheme="minorHAnsi" w:cs="Arial"/>
              </w:rPr>
              <w:t>)</w:t>
            </w:r>
          </w:p>
        </w:tc>
      </w:tr>
      <w:tr w:rsidR="00203BDA" w:rsidRPr="005346F1" w14:paraId="1FE425B8" w14:textId="77777777" w:rsidTr="008E29C7">
        <w:tc>
          <w:tcPr>
            <w:tcW w:w="9630" w:type="dxa"/>
            <w:gridSpan w:val="2"/>
            <w:shd w:val="clear" w:color="auto" w:fill="000000" w:themeFill="text1"/>
          </w:tcPr>
          <w:p w14:paraId="79A090E9" w14:textId="01EC54A2" w:rsidR="00203BDA" w:rsidRDefault="00203BDA" w:rsidP="00203BDA">
            <w:pPr>
              <w:pStyle w:val="c6"/>
              <w:rPr>
                <w:rFonts w:asciiTheme="minorHAnsi" w:hAnsiTheme="minorHAnsi" w:cs="Arial"/>
              </w:rPr>
            </w:pPr>
            <w:r>
              <w:rPr>
                <w:rFonts w:cs="Arial"/>
                <w:b/>
                <w:color w:val="FFFFFF"/>
              </w:rPr>
              <w:t>Alignment</w:t>
            </w:r>
          </w:p>
        </w:tc>
      </w:tr>
      <w:tr w:rsidR="00203BDA" w:rsidRPr="005346F1" w14:paraId="155B305A" w14:textId="77777777" w:rsidTr="009E5A2A">
        <w:tc>
          <w:tcPr>
            <w:tcW w:w="450" w:type="dxa"/>
            <w:tcBorders>
              <w:right w:val="single" w:sz="4" w:space="0" w:color="FFFFFF"/>
            </w:tcBorders>
            <w:shd w:val="clear" w:color="auto" w:fill="auto"/>
          </w:tcPr>
          <w:p w14:paraId="58585842" w14:textId="0F21B667" w:rsidR="00203BDA" w:rsidRPr="005346F1" w:rsidRDefault="00203BDA" w:rsidP="00203BDA">
            <w:pPr>
              <w:pStyle w:val="c6"/>
              <w:jc w:val="center"/>
              <w:rPr>
                <w:rFonts w:ascii="Arial" w:hAnsi="Arial" w:cs="Arial"/>
              </w:rPr>
            </w:pPr>
            <w:r w:rsidRPr="005346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180" w:type="dxa"/>
            <w:tcBorders>
              <w:left w:val="single" w:sz="4" w:space="0" w:color="FFFFFF"/>
            </w:tcBorders>
            <w:shd w:val="clear" w:color="auto" w:fill="auto"/>
          </w:tcPr>
          <w:p w14:paraId="503ED416" w14:textId="74CADAE6" w:rsidR="00203BDA" w:rsidRDefault="00203BDA" w:rsidP="00203BDA">
            <w:pPr>
              <w:pStyle w:val="c6"/>
              <w:rPr>
                <w:rFonts w:cs="Arial"/>
              </w:rPr>
            </w:pPr>
            <w:r>
              <w:rPr>
                <w:rFonts w:cs="Arial"/>
              </w:rPr>
              <w:t>Instructional materials contribute to the course and module learning objectives, and relationship with objectives is clear</w:t>
            </w:r>
            <w:r w:rsidRPr="00A91A6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(4.1</w:t>
            </w:r>
            <w:r w:rsidRPr="00A91A61">
              <w:rPr>
                <w:rFonts w:cs="Arial"/>
              </w:rPr>
              <w:t>)</w:t>
            </w:r>
          </w:p>
        </w:tc>
      </w:tr>
      <w:tr w:rsidR="00203BDA" w:rsidRPr="005346F1" w14:paraId="7BDBB6B0" w14:textId="77777777" w:rsidTr="001F6449">
        <w:tc>
          <w:tcPr>
            <w:tcW w:w="9630" w:type="dxa"/>
            <w:gridSpan w:val="2"/>
            <w:shd w:val="clear" w:color="auto" w:fill="000000"/>
          </w:tcPr>
          <w:p w14:paraId="39BF52E4" w14:textId="77777777" w:rsidR="00203BDA" w:rsidRPr="00A91A61" w:rsidRDefault="00203BDA" w:rsidP="00203BDA">
            <w:pPr>
              <w:pStyle w:val="c6"/>
              <w:rPr>
                <w:rFonts w:cs="Arial"/>
                <w:b/>
                <w:noProof/>
                <w:color w:val="FFFFFF"/>
              </w:rPr>
            </w:pPr>
            <w:r w:rsidRPr="00A91A61">
              <w:rPr>
                <w:rFonts w:cs="Arial"/>
                <w:b/>
                <w:noProof/>
                <w:color w:val="FFFFFF"/>
              </w:rPr>
              <w:t>Tips (Recommended strategies to consider)</w:t>
            </w:r>
          </w:p>
        </w:tc>
      </w:tr>
      <w:tr w:rsidR="00203BDA" w:rsidRPr="005346F1" w14:paraId="325DA442" w14:textId="77777777" w:rsidTr="00E11061">
        <w:tc>
          <w:tcPr>
            <w:tcW w:w="9630" w:type="dxa"/>
            <w:gridSpan w:val="2"/>
            <w:shd w:val="clear" w:color="auto" w:fill="auto"/>
          </w:tcPr>
          <w:p w14:paraId="5D9EDBA8" w14:textId="33BBA3F3" w:rsidR="00203BDA" w:rsidRPr="00A91A61" w:rsidRDefault="00203BDA" w:rsidP="00203BDA">
            <w:pPr>
              <w:pStyle w:val="c6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Discover or curate content first, and then identify gaps before creating new content</w:t>
            </w:r>
          </w:p>
        </w:tc>
      </w:tr>
      <w:tr w:rsidR="00203BDA" w:rsidRPr="005346F1" w14:paraId="1D4FEDEA" w14:textId="77777777" w:rsidTr="000D623A">
        <w:tc>
          <w:tcPr>
            <w:tcW w:w="9630" w:type="dxa"/>
            <w:gridSpan w:val="2"/>
            <w:shd w:val="clear" w:color="auto" w:fill="auto"/>
          </w:tcPr>
          <w:p w14:paraId="187360A9" w14:textId="60B072F0" w:rsidR="00203BDA" w:rsidRDefault="00203BDA" w:rsidP="00203BDA">
            <w:pPr>
              <w:pStyle w:val="c6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Group instructional materials with associated learning activities and assessments</w:t>
            </w:r>
          </w:p>
        </w:tc>
      </w:tr>
      <w:tr w:rsidR="00203BDA" w:rsidRPr="005346F1" w14:paraId="68C8E40A" w14:textId="77777777" w:rsidTr="000D623A">
        <w:tc>
          <w:tcPr>
            <w:tcW w:w="9630" w:type="dxa"/>
            <w:gridSpan w:val="2"/>
            <w:shd w:val="clear" w:color="auto" w:fill="auto"/>
          </w:tcPr>
          <w:p w14:paraId="7C79D40D" w14:textId="48710961" w:rsidR="00203BDA" w:rsidRDefault="00203BDA" w:rsidP="00203BDA">
            <w:pPr>
              <w:pStyle w:val="c6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Provide and clearly mark optional materials for pre-requisites or extending learning</w:t>
            </w:r>
          </w:p>
        </w:tc>
      </w:tr>
    </w:tbl>
    <w:p w14:paraId="2CBFBEC8" w14:textId="77777777" w:rsidR="007B18A5" w:rsidRPr="005346F1" w:rsidRDefault="007B18A5">
      <w:pPr>
        <w:rPr>
          <w:rFonts w:ascii="Arial" w:hAnsi="Arial" w:cs="Arial"/>
          <w:sz w:val="22"/>
          <w:szCs w:val="22"/>
        </w:rPr>
      </w:pPr>
    </w:p>
    <w:sectPr w:rsidR="007B18A5" w:rsidRPr="005346F1" w:rsidSect="001F6449">
      <w:headerReference w:type="default" r:id="rId14"/>
      <w:footerReference w:type="default" r:id="rId15"/>
      <w:pgSz w:w="12240" w:h="15840" w:code="1"/>
      <w:pgMar w:top="1008" w:right="1440" w:bottom="1098" w:left="1440" w:header="576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D6A43" w14:textId="77777777" w:rsidR="00F45503" w:rsidRDefault="00F45503" w:rsidP="00517C07">
      <w:pPr>
        <w:spacing w:after="0" w:line="240" w:lineRule="auto"/>
      </w:pPr>
      <w:r>
        <w:separator/>
      </w:r>
    </w:p>
  </w:endnote>
  <w:endnote w:type="continuationSeparator" w:id="0">
    <w:p w14:paraId="66FED8F6" w14:textId="77777777" w:rsidR="00F45503" w:rsidRDefault="00F45503" w:rsidP="0051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6D4E" w14:textId="7542D353" w:rsidR="00976C85" w:rsidRPr="00A91A61" w:rsidRDefault="00976C85" w:rsidP="00976C85">
    <w:pPr>
      <w:pStyle w:val="Footer"/>
      <w:rPr>
        <w:rFonts w:cs="Arial"/>
        <w:sz w:val="20"/>
        <w:szCs w:val="20"/>
      </w:rPr>
    </w:pPr>
    <w:r w:rsidRPr="00A91A61">
      <w:rPr>
        <w:rFonts w:cs="Arial"/>
        <w:sz w:val="20"/>
        <w:szCs w:val="20"/>
      </w:rPr>
      <w:t xml:space="preserve">Developed by the </w:t>
    </w:r>
    <w:r w:rsidR="00E733FE" w:rsidRPr="00A91A61">
      <w:rPr>
        <w:rFonts w:cs="Arial"/>
        <w:sz w:val="20"/>
        <w:szCs w:val="20"/>
      </w:rPr>
      <w:t xml:space="preserve">Northern Illinois University </w:t>
    </w:r>
    <w:r w:rsidR="003F14CC" w:rsidRPr="003F14CC">
      <w:rPr>
        <w:rFonts w:cs="Arial"/>
        <w:sz w:val="20"/>
        <w:szCs w:val="20"/>
      </w:rPr>
      <w:t>Center for Innovative Teaching and Learning</w:t>
    </w:r>
  </w:p>
  <w:p w14:paraId="51059F98" w14:textId="77777777" w:rsidR="00976C85" w:rsidRPr="00A91A61" w:rsidRDefault="00DD56CE" w:rsidP="00976C85">
    <w:pPr>
      <w:pStyle w:val="Footer"/>
      <w:rPr>
        <w:rFonts w:cs="Arial"/>
        <w:sz w:val="20"/>
        <w:szCs w:val="20"/>
      </w:rPr>
    </w:pPr>
    <w:r w:rsidRPr="00A91A61">
      <w:rPr>
        <w:rFonts w:cs="Arial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5583C07A" wp14:editId="07777777">
          <wp:simplePos x="0" y="0"/>
          <wp:positionH relativeFrom="column">
            <wp:posOffset>5057775</wp:posOffset>
          </wp:positionH>
          <wp:positionV relativeFrom="paragraph">
            <wp:posOffset>62230</wp:posOffset>
          </wp:positionV>
          <wp:extent cx="952500" cy="35560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C85" w:rsidRPr="00A91A61">
      <w:rPr>
        <w:rFonts w:cs="Arial"/>
        <w:sz w:val="20"/>
        <w:szCs w:val="20"/>
      </w:rPr>
      <w:t>Adapted from © 2014 New Mexico State University Board of Regents</w:t>
    </w:r>
  </w:p>
  <w:p w14:paraId="0627C21D" w14:textId="77777777" w:rsidR="00976C85" w:rsidRPr="00A91A61" w:rsidRDefault="00976C85" w:rsidP="00976C85">
    <w:pPr>
      <w:pStyle w:val="Footer"/>
      <w:rPr>
        <w:rFonts w:cs="Arial"/>
        <w:sz w:val="20"/>
        <w:szCs w:val="20"/>
      </w:rPr>
    </w:pPr>
    <w:r w:rsidRPr="00A91A61">
      <w:rPr>
        <w:rFonts w:cs="Arial"/>
        <w:sz w:val="20"/>
        <w:szCs w:val="20"/>
      </w:rPr>
      <w:t xml:space="preserve">Quality Matters </w:t>
    </w:r>
    <w:hyperlink r:id="rId2" w:history="1">
      <w:r w:rsidRPr="00A91A61">
        <w:rPr>
          <w:rStyle w:val="Hyperlink"/>
          <w:rFonts w:cs="Arial"/>
          <w:sz w:val="20"/>
          <w:szCs w:val="20"/>
        </w:rPr>
        <w:t>http://www.qmprogram.org/</w:t>
      </w:r>
    </w:hyperlink>
    <w:r w:rsidRPr="00A91A61">
      <w:rPr>
        <w:rFonts w:cs="Arial"/>
        <w:sz w:val="20"/>
        <w:szCs w:val="20"/>
      </w:rPr>
      <w:t xml:space="preserve">                                  </w:t>
    </w:r>
  </w:p>
  <w:p w14:paraId="68F13268" w14:textId="5FB3E94F" w:rsidR="002A49E9" w:rsidRPr="009D4AB3" w:rsidRDefault="00976C85" w:rsidP="00480691">
    <w:pPr>
      <w:pStyle w:val="Footer"/>
      <w:rPr>
        <w:rFonts w:cs="Arial"/>
        <w:sz w:val="20"/>
        <w:szCs w:val="20"/>
      </w:rPr>
    </w:pPr>
    <w:r w:rsidRPr="00A91A61">
      <w:rPr>
        <w:rFonts w:cs="Arial"/>
        <w:sz w:val="20"/>
        <w:szCs w:val="20"/>
      </w:rPr>
      <w:t xml:space="preserve">Revised </w:t>
    </w:r>
    <w:proofErr w:type="gramStart"/>
    <w:r w:rsidR="001B10B9">
      <w:rPr>
        <w:rFonts w:cs="Arial"/>
        <w:sz w:val="20"/>
        <w:szCs w:val="20"/>
      </w:rPr>
      <w:t>10</w:t>
    </w:r>
    <w:r w:rsidRPr="00A91A61">
      <w:rPr>
        <w:rFonts w:cs="Arial"/>
        <w:sz w:val="20"/>
        <w:szCs w:val="20"/>
      </w:rPr>
      <w:t>/</w:t>
    </w:r>
    <w:r w:rsidR="003F3868">
      <w:rPr>
        <w:rFonts w:cs="Arial"/>
        <w:sz w:val="20"/>
        <w:szCs w:val="20"/>
      </w:rPr>
      <w:t>2</w:t>
    </w:r>
    <w:r w:rsidR="006E7D6E">
      <w:rPr>
        <w:rFonts w:cs="Arial"/>
        <w:sz w:val="20"/>
        <w:szCs w:val="20"/>
      </w:rPr>
      <w:t>/</w:t>
    </w:r>
    <w:r w:rsidR="003F3868">
      <w:rPr>
        <w:rFonts w:cs="Arial"/>
        <w:sz w:val="20"/>
        <w:szCs w:val="20"/>
      </w:rPr>
      <w:t>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94CB1" w14:textId="77777777" w:rsidR="00F45503" w:rsidRDefault="00F45503" w:rsidP="00517C07">
      <w:pPr>
        <w:spacing w:after="0" w:line="240" w:lineRule="auto"/>
      </w:pPr>
      <w:r>
        <w:separator/>
      </w:r>
    </w:p>
  </w:footnote>
  <w:footnote w:type="continuationSeparator" w:id="0">
    <w:p w14:paraId="55492A53" w14:textId="77777777" w:rsidR="00F45503" w:rsidRDefault="00F45503" w:rsidP="0051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75CB" w14:textId="3B043342" w:rsidR="00976C85" w:rsidRPr="00833025" w:rsidRDefault="00E7358D" w:rsidP="00976C85">
    <w:pPr>
      <w:pStyle w:val="Header"/>
      <w:rPr>
        <w:rFonts w:ascii="Times New Roman" w:hAnsi="Times New Roman"/>
      </w:rPr>
    </w:pPr>
    <w:r w:rsidRPr="00E7358D">
      <w:rPr>
        <w:rFonts w:ascii="Times New Roman" w:hAnsi="Times New Roman"/>
        <w:noProof/>
      </w:rPr>
      <w:drawing>
        <wp:inline distT="0" distB="0" distL="0" distR="0" wp14:anchorId="17F3599A" wp14:editId="38687105">
          <wp:extent cx="1870363" cy="54864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FacDev Art\ niuFACDEVnotag_horiz_4Clr_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0363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E435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42C0F"/>
    <w:multiLevelType w:val="hybridMultilevel"/>
    <w:tmpl w:val="D494ED86"/>
    <w:lvl w:ilvl="0" w:tplc="3B8CDEC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77DF3"/>
    <w:multiLevelType w:val="hybridMultilevel"/>
    <w:tmpl w:val="29E0DA32"/>
    <w:lvl w:ilvl="0" w:tplc="C12C4590">
      <w:start w:val="1"/>
      <w:numFmt w:val="decimal"/>
      <w:lvlText w:val="6.%1"/>
      <w:lvlJc w:val="left"/>
      <w:pPr>
        <w:ind w:left="720" w:hanging="360"/>
      </w:pPr>
      <w:rPr>
        <w:rFonts w:ascii="Calibri" w:hAnsi="Calibri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47B6A"/>
    <w:multiLevelType w:val="hybridMultilevel"/>
    <w:tmpl w:val="42AE8E38"/>
    <w:lvl w:ilvl="0" w:tplc="64023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06C7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B8EC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986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CE60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21ED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E880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9569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D3E8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366C17FD"/>
    <w:multiLevelType w:val="hybridMultilevel"/>
    <w:tmpl w:val="86060F50"/>
    <w:lvl w:ilvl="0" w:tplc="EC647758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97370"/>
    <w:multiLevelType w:val="multilevel"/>
    <w:tmpl w:val="86060F50"/>
    <w:lvl w:ilvl="0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E1925"/>
    <w:multiLevelType w:val="hybridMultilevel"/>
    <w:tmpl w:val="AC8CE7DC"/>
    <w:lvl w:ilvl="0" w:tplc="AA2E3B98">
      <w:start w:val="1"/>
      <w:numFmt w:val="decimal"/>
      <w:lvlText w:val="4.%1"/>
      <w:lvlJc w:val="left"/>
      <w:pPr>
        <w:ind w:left="720" w:hanging="360"/>
      </w:pPr>
      <w:rPr>
        <w:rFonts w:ascii="Calibri" w:hAnsi="Calibri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07CAC"/>
    <w:multiLevelType w:val="hybridMultilevel"/>
    <w:tmpl w:val="5F164AA8"/>
    <w:lvl w:ilvl="0" w:tplc="3B8CDEC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B3462"/>
    <w:multiLevelType w:val="multilevel"/>
    <w:tmpl w:val="B7ACB94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EF149AD"/>
    <w:multiLevelType w:val="multilevel"/>
    <w:tmpl w:val="D34CA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120626">
    <w:abstractNumId w:val="3"/>
  </w:num>
  <w:num w:numId="2" w16cid:durableId="1491866611">
    <w:abstractNumId w:val="0"/>
  </w:num>
  <w:num w:numId="3" w16cid:durableId="483283190">
    <w:abstractNumId w:val="4"/>
  </w:num>
  <w:num w:numId="4" w16cid:durableId="1041829324">
    <w:abstractNumId w:val="9"/>
  </w:num>
  <w:num w:numId="5" w16cid:durableId="2057897328">
    <w:abstractNumId w:val="5"/>
  </w:num>
  <w:num w:numId="6" w16cid:durableId="829830624">
    <w:abstractNumId w:val="7"/>
  </w:num>
  <w:num w:numId="7" w16cid:durableId="986325843">
    <w:abstractNumId w:val="1"/>
  </w:num>
  <w:num w:numId="8" w16cid:durableId="411974603">
    <w:abstractNumId w:val="2"/>
  </w:num>
  <w:num w:numId="9" w16cid:durableId="99953517">
    <w:abstractNumId w:val="6"/>
  </w:num>
  <w:num w:numId="10" w16cid:durableId="15490256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0D"/>
    <w:rsid w:val="000059D2"/>
    <w:rsid w:val="00011367"/>
    <w:rsid w:val="00020105"/>
    <w:rsid w:val="000548DC"/>
    <w:rsid w:val="00066E18"/>
    <w:rsid w:val="00087B12"/>
    <w:rsid w:val="000C1CBD"/>
    <w:rsid w:val="00111B38"/>
    <w:rsid w:val="00151241"/>
    <w:rsid w:val="001544B9"/>
    <w:rsid w:val="001620A9"/>
    <w:rsid w:val="001B10B9"/>
    <w:rsid w:val="001D6CBD"/>
    <w:rsid w:val="001E017F"/>
    <w:rsid w:val="001F6449"/>
    <w:rsid w:val="00203BDA"/>
    <w:rsid w:val="00261675"/>
    <w:rsid w:val="002713FF"/>
    <w:rsid w:val="00273736"/>
    <w:rsid w:val="0027457A"/>
    <w:rsid w:val="002965C1"/>
    <w:rsid w:val="002A49E9"/>
    <w:rsid w:val="002B323C"/>
    <w:rsid w:val="002E340D"/>
    <w:rsid w:val="003243D9"/>
    <w:rsid w:val="0032591D"/>
    <w:rsid w:val="00350DD0"/>
    <w:rsid w:val="003A7734"/>
    <w:rsid w:val="003B102D"/>
    <w:rsid w:val="003D0602"/>
    <w:rsid w:val="003F14CC"/>
    <w:rsid w:val="003F3868"/>
    <w:rsid w:val="0042274F"/>
    <w:rsid w:val="00425BCE"/>
    <w:rsid w:val="004370C8"/>
    <w:rsid w:val="00444B35"/>
    <w:rsid w:val="004541FC"/>
    <w:rsid w:val="00475A7F"/>
    <w:rsid w:val="00475FC7"/>
    <w:rsid w:val="0047742D"/>
    <w:rsid w:val="00480691"/>
    <w:rsid w:val="0049134A"/>
    <w:rsid w:val="004A27C8"/>
    <w:rsid w:val="004A4D6E"/>
    <w:rsid w:val="004B73D4"/>
    <w:rsid w:val="004D7A1B"/>
    <w:rsid w:val="004E098F"/>
    <w:rsid w:val="0050163E"/>
    <w:rsid w:val="00514BDB"/>
    <w:rsid w:val="00517C07"/>
    <w:rsid w:val="005346F1"/>
    <w:rsid w:val="005373C9"/>
    <w:rsid w:val="0053764E"/>
    <w:rsid w:val="00541689"/>
    <w:rsid w:val="00585D10"/>
    <w:rsid w:val="005C6672"/>
    <w:rsid w:val="005D210D"/>
    <w:rsid w:val="005E0FF0"/>
    <w:rsid w:val="00641D51"/>
    <w:rsid w:val="00672DCB"/>
    <w:rsid w:val="006A76D7"/>
    <w:rsid w:val="006D384A"/>
    <w:rsid w:val="006E7D6E"/>
    <w:rsid w:val="006F7828"/>
    <w:rsid w:val="0071093B"/>
    <w:rsid w:val="00743DCB"/>
    <w:rsid w:val="007B027E"/>
    <w:rsid w:val="007B18A5"/>
    <w:rsid w:val="007B1E4B"/>
    <w:rsid w:val="007D0422"/>
    <w:rsid w:val="00801A6C"/>
    <w:rsid w:val="00826674"/>
    <w:rsid w:val="00831E5F"/>
    <w:rsid w:val="00833025"/>
    <w:rsid w:val="00854088"/>
    <w:rsid w:val="008D3059"/>
    <w:rsid w:val="008E1B8B"/>
    <w:rsid w:val="008E29C7"/>
    <w:rsid w:val="008E31C7"/>
    <w:rsid w:val="00905830"/>
    <w:rsid w:val="00916C48"/>
    <w:rsid w:val="00967A3E"/>
    <w:rsid w:val="00976C85"/>
    <w:rsid w:val="009934AC"/>
    <w:rsid w:val="009A315B"/>
    <w:rsid w:val="009B15CF"/>
    <w:rsid w:val="009D4AB3"/>
    <w:rsid w:val="009E4B17"/>
    <w:rsid w:val="009E5A2A"/>
    <w:rsid w:val="00A50777"/>
    <w:rsid w:val="00A60544"/>
    <w:rsid w:val="00A64F2E"/>
    <w:rsid w:val="00A91A61"/>
    <w:rsid w:val="00AB71F0"/>
    <w:rsid w:val="00AC29B7"/>
    <w:rsid w:val="00AD566C"/>
    <w:rsid w:val="00AF567B"/>
    <w:rsid w:val="00B01A70"/>
    <w:rsid w:val="00B02FE2"/>
    <w:rsid w:val="00B055C8"/>
    <w:rsid w:val="00B40205"/>
    <w:rsid w:val="00B538A2"/>
    <w:rsid w:val="00B73798"/>
    <w:rsid w:val="00BB7DDC"/>
    <w:rsid w:val="00BC0963"/>
    <w:rsid w:val="00BC1BA6"/>
    <w:rsid w:val="00BD13F0"/>
    <w:rsid w:val="00C143D5"/>
    <w:rsid w:val="00C64F9E"/>
    <w:rsid w:val="00C70731"/>
    <w:rsid w:val="00C70D88"/>
    <w:rsid w:val="00C91865"/>
    <w:rsid w:val="00CB6A31"/>
    <w:rsid w:val="00D06CB7"/>
    <w:rsid w:val="00D26AF4"/>
    <w:rsid w:val="00D66618"/>
    <w:rsid w:val="00D805B0"/>
    <w:rsid w:val="00DA5425"/>
    <w:rsid w:val="00DD0354"/>
    <w:rsid w:val="00DD25E2"/>
    <w:rsid w:val="00DD2A9C"/>
    <w:rsid w:val="00DD56CE"/>
    <w:rsid w:val="00E03214"/>
    <w:rsid w:val="00E14E04"/>
    <w:rsid w:val="00E21460"/>
    <w:rsid w:val="00E7045F"/>
    <w:rsid w:val="00E733FE"/>
    <w:rsid w:val="00E7358D"/>
    <w:rsid w:val="00EB1A92"/>
    <w:rsid w:val="00EE5A68"/>
    <w:rsid w:val="00EF3614"/>
    <w:rsid w:val="00F037F0"/>
    <w:rsid w:val="00F328CF"/>
    <w:rsid w:val="00F37AE6"/>
    <w:rsid w:val="00F45503"/>
    <w:rsid w:val="00F64C84"/>
    <w:rsid w:val="00F702B2"/>
    <w:rsid w:val="00FA5E3B"/>
    <w:rsid w:val="00FB1795"/>
    <w:rsid w:val="00FC7317"/>
    <w:rsid w:val="00FE552E"/>
    <w:rsid w:val="1778BBDF"/>
    <w:rsid w:val="3782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B17A7F"/>
  <w14:defaultImageDpi w14:val="300"/>
  <w15:docId w15:val="{B4208986-9A40-4255-A720-2251479E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367"/>
    <w:pPr>
      <w:spacing w:after="200" w:line="276" w:lineRule="auto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BCE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21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6">
    <w:name w:val="c6"/>
    <w:basedOn w:val="Normal"/>
    <w:rsid w:val="006A76D7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3">
    <w:name w:val="c3"/>
    <w:basedOn w:val="DefaultParagraphFont"/>
    <w:rsid w:val="006A76D7"/>
  </w:style>
  <w:style w:type="paragraph" w:customStyle="1" w:styleId="c7">
    <w:name w:val="c7"/>
    <w:basedOn w:val="Normal"/>
    <w:rsid w:val="006A76D7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MediumGrid1-Accent21">
    <w:name w:val="Medium Grid 1 - Accent 21"/>
    <w:basedOn w:val="Normal"/>
    <w:uiPriority w:val="34"/>
    <w:qFormat/>
    <w:rsid w:val="000548DC"/>
    <w:pPr>
      <w:spacing w:after="0" w:line="240" w:lineRule="auto"/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45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704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7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07"/>
  </w:style>
  <w:style w:type="paragraph" w:styleId="Footer">
    <w:name w:val="footer"/>
    <w:basedOn w:val="Normal"/>
    <w:link w:val="FooterChar"/>
    <w:uiPriority w:val="99"/>
    <w:unhideWhenUsed/>
    <w:rsid w:val="00517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07"/>
  </w:style>
  <w:style w:type="character" w:styleId="Hyperlink">
    <w:name w:val="Hyperlink"/>
    <w:uiPriority w:val="99"/>
    <w:unhideWhenUsed/>
    <w:rsid w:val="00517C07"/>
    <w:rPr>
      <w:color w:val="0000FF"/>
      <w:u w:val="single"/>
    </w:rPr>
  </w:style>
  <w:style w:type="table" w:styleId="TableGrid">
    <w:name w:val="Table Grid"/>
    <w:basedOn w:val="TableNormal"/>
    <w:uiPriority w:val="59"/>
    <w:rsid w:val="0048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425BC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737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7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D6E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D6E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60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mprogram.org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949d43-bfb5-4e08-b5a1-9898985fe948">
      <UserInfo>
        <DisplayName/>
        <AccountId xsi:nil="true"/>
        <AccountType/>
      </UserInfo>
    </SharedWithUsers>
    <TaxCatchAll xmlns="26949d43-bfb5-4e08-b5a1-9898985fe948" xsi:nil="true"/>
    <lcf76f155ced4ddcb4097134ff3c332f xmlns="23b68316-c187-4dff-afb3-088c2e14e2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52B77AD580044AB850E8DD5B20566" ma:contentTypeVersion="18" ma:contentTypeDescription="Create a new document." ma:contentTypeScope="" ma:versionID="d104f97685af1c166c0b6a018fa50acb">
  <xsd:schema xmlns:xsd="http://www.w3.org/2001/XMLSchema" xmlns:xs="http://www.w3.org/2001/XMLSchema" xmlns:p="http://schemas.microsoft.com/office/2006/metadata/properties" xmlns:ns2="23b68316-c187-4dff-afb3-088c2e14e22e" xmlns:ns3="26949d43-bfb5-4e08-b5a1-9898985fe948" targetNamespace="http://schemas.microsoft.com/office/2006/metadata/properties" ma:root="true" ma:fieldsID="8abbde402d59088c289792198b3c4347" ns2:_="" ns3:_="">
    <xsd:import namespace="23b68316-c187-4dff-afb3-088c2e14e22e"/>
    <xsd:import namespace="26949d43-bfb5-4e08-b5a1-9898985fe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68316-c187-4dff-afb3-088c2e14e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a63e50-2334-4bb1-ad09-e05728c052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49d43-bfb5-4e08-b5a1-9898985fe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23af1d-21fa-4036-976f-eceee9e4e0d8}" ma:internalName="TaxCatchAll" ma:showField="CatchAllData" ma:web="26949d43-bfb5-4e08-b5a1-9898985fe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88ED04-E667-4876-A90C-BF8F7B1E0D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35F842-F2E4-40FA-8A02-D98B5C30A144}">
  <ds:schemaRefs>
    <ds:schemaRef ds:uri="http://schemas.microsoft.com/office/2006/metadata/properties"/>
    <ds:schemaRef ds:uri="http://schemas.microsoft.com/office/infopath/2007/PartnerControls"/>
    <ds:schemaRef ds:uri="26949d43-bfb5-4e08-b5a1-9898985fe948"/>
    <ds:schemaRef ds:uri="23b68316-c187-4dff-afb3-088c2e14e22e"/>
  </ds:schemaRefs>
</ds:datastoreItem>
</file>

<file path=customXml/itemProps3.xml><?xml version="1.0" encoding="utf-8"?>
<ds:datastoreItem xmlns:ds="http://schemas.openxmlformats.org/officeDocument/2006/customXml" ds:itemID="{F293E43B-BD8B-4376-84F0-9678EB548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68316-c187-4dff-afb3-088c2e14e22e"/>
    <ds:schemaRef ds:uri="26949d43-bfb5-4e08-b5a1-9898985fe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259FBD-0414-462A-9B43-6D82675CB0E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1A9C329-64B8-4948-B6CD-2E034A268F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FacDev</dc:creator>
  <cp:keywords/>
  <cp:lastModifiedBy>Jason Rhode</cp:lastModifiedBy>
  <cp:revision>2</cp:revision>
  <cp:lastPrinted>2020-07-10T14:54:00Z</cp:lastPrinted>
  <dcterms:created xsi:type="dcterms:W3CDTF">2023-10-02T08:50:00Z</dcterms:created>
  <dcterms:modified xsi:type="dcterms:W3CDTF">2023-10-02T08:50:00Z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  <property fmtid="{D5CDD505-2E9C-101B-9397-08002B2CF9AE}" pid="3" name="ContentTypeId">
    <vt:lpwstr>0x0101000EF52B77AD580044AB850E8DD5B20566</vt:lpwstr>
  </property>
</Properties>
</file>