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731BA" w14:textId="27A766E0" w:rsidR="00216DF9" w:rsidRDefault="00A53585">
      <w:r w:rsidRPr="00A53585">
        <w:rPr>
          <w:noProof/>
          <w:highlight w:val="yellow"/>
        </w:rPr>
        <w:drawing>
          <wp:anchor distT="0" distB="0" distL="114300" distR="114300" simplePos="0" relativeHeight="251660288" behindDoc="0" locked="0" layoutInCell="1" allowOverlap="1" wp14:anchorId="0F89D1BF" wp14:editId="2B2F3B4A">
            <wp:simplePos x="0" y="0"/>
            <wp:positionH relativeFrom="page">
              <wp:posOffset>2253615</wp:posOffset>
            </wp:positionH>
            <wp:positionV relativeFrom="paragraph">
              <wp:posOffset>-448945</wp:posOffset>
            </wp:positionV>
            <wp:extent cx="3275330" cy="2635885"/>
            <wp:effectExtent l="0" t="0" r="1270" b="0"/>
            <wp:wrapNone/>
            <wp:docPr id="8" name="Picture 7" descr="NI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NIU Logo"/>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275330" cy="2635885"/>
                    </a:xfrm>
                    <a:prstGeom prst="rect">
                      <a:avLst/>
                    </a:prstGeom>
                  </pic:spPr>
                </pic:pic>
              </a:graphicData>
            </a:graphic>
          </wp:anchor>
        </w:drawing>
      </w:r>
      <w:r w:rsidRPr="00A53585">
        <w:rPr>
          <w:noProof/>
          <w:highlight w:val="yellow"/>
        </w:rPr>
        <mc:AlternateContent>
          <mc:Choice Requires="wps">
            <w:drawing>
              <wp:anchor distT="0" distB="0" distL="114300" distR="114300" simplePos="0" relativeHeight="251659264" behindDoc="0" locked="0" layoutInCell="1" allowOverlap="1" wp14:anchorId="75B51582" wp14:editId="303DD3EA">
                <wp:simplePos x="0" y="0"/>
                <wp:positionH relativeFrom="page">
                  <wp:posOffset>63062</wp:posOffset>
                </wp:positionH>
                <wp:positionV relativeFrom="paragraph">
                  <wp:posOffset>-859877</wp:posOffset>
                </wp:positionV>
                <wp:extent cx="7648575" cy="1219200"/>
                <wp:effectExtent l="57150" t="19050" r="66675" b="95250"/>
                <wp:wrapNone/>
                <wp:docPr id="17" name="Rectangle 5"/>
                <wp:cNvGraphicFramePr/>
                <a:graphic xmlns:a="http://schemas.openxmlformats.org/drawingml/2006/main">
                  <a:graphicData uri="http://schemas.microsoft.com/office/word/2010/wordprocessingShape">
                    <wps:wsp>
                      <wps:cNvSpPr/>
                      <wps:spPr>
                        <a:xfrm>
                          <a:off x="0" y="0"/>
                          <a:ext cx="7648575" cy="1219200"/>
                        </a:xfrm>
                        <a:prstGeom prst="rect">
                          <a:avLst/>
                        </a:prstGeom>
                        <a:solidFill>
                          <a:srgbClr val="AF0000"/>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xmlns:w16sdtdh="http://schemas.microsoft.com/office/word/2020/wordml/sdtdatahash">
            <w:pict>
              <v:rect w14:anchorId="29AE53D2" id="Rectangle 5" o:spid="_x0000_s1026" style="position:absolute;margin-left:4.95pt;margin-top:-67.7pt;width:602.25pt;height:96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" fillcolor="#af0000" stroked="f" strokeweight="1pt">
                <v:shadow on="t" color="black" opacity="26214f" origin=",-.5" offset="0,3pt"/>
                <w10:wrap anchorx="page"/>
              </v:rect>
            </w:pict>
          </mc:Fallback>
        </mc:AlternateContent>
      </w:r>
    </w:p>
    <w:p w14:paraId="3F6474E1" w14:textId="020E8ACE" w:rsidR="00A53585" w:rsidRDefault="00A53585"/>
    <w:p w14:paraId="5F648874" w14:textId="2D19B46B" w:rsidR="00A53585" w:rsidRDefault="00A53585"/>
    <w:p w14:paraId="0C00FAEC" w14:textId="04BD91C4" w:rsidR="00A53585" w:rsidRDefault="00A53585"/>
    <w:p w14:paraId="778DCDFD" w14:textId="4033E71F" w:rsidR="00A53585" w:rsidRDefault="00A53585"/>
    <w:p w14:paraId="22366C6D" w14:textId="1CEA551C" w:rsidR="00A53585" w:rsidRDefault="00A53585"/>
    <w:p w14:paraId="64CFDFE6" w14:textId="4F8F8F5D" w:rsidR="00A53585" w:rsidRDefault="00A53585"/>
    <w:p w14:paraId="1CE4DB22" w14:textId="12B7731B" w:rsidR="00A53585" w:rsidRDefault="00A53585"/>
    <w:p w14:paraId="22C79ECA" w14:textId="5F2365E6" w:rsidR="00A53585" w:rsidRDefault="00A53585"/>
    <w:p w14:paraId="6C09236F" w14:textId="77777777" w:rsidR="00A53585" w:rsidRDefault="00A53585"/>
    <w:p w14:paraId="4B448AD2" w14:textId="1F8E7A20" w:rsidR="00A53585" w:rsidRDefault="00A53585"/>
    <w:p w14:paraId="5614273A" w14:textId="255D6D88" w:rsidR="00A53585" w:rsidRPr="008C5D2C" w:rsidRDefault="00A53585" w:rsidP="008C5D2C">
      <w:pPr>
        <w:pStyle w:val="Title"/>
        <w:jc w:val="center"/>
        <w:rPr>
          <w:rFonts w:asciiTheme="minorHAnsi" w:hAnsiTheme="minorHAnsi"/>
          <w:b/>
          <w:bCs/>
          <w:color w:val="C00000"/>
          <w:sz w:val="72"/>
          <w:szCs w:val="72"/>
        </w:rPr>
      </w:pPr>
      <w:proofErr w:type="spellStart"/>
      <w:r w:rsidRPr="008C5D2C">
        <w:rPr>
          <w:rFonts w:asciiTheme="minorHAnsi" w:hAnsiTheme="minorHAnsi"/>
          <w:b/>
          <w:bCs/>
          <w:color w:val="C00000"/>
          <w:sz w:val="72"/>
          <w:szCs w:val="72"/>
        </w:rPr>
        <w:t>FY22</w:t>
      </w:r>
      <w:proofErr w:type="spellEnd"/>
      <w:r w:rsidRPr="008C5D2C">
        <w:rPr>
          <w:rFonts w:asciiTheme="minorHAnsi" w:hAnsiTheme="minorHAnsi"/>
          <w:b/>
          <w:bCs/>
          <w:color w:val="C00000"/>
          <w:sz w:val="72"/>
          <w:szCs w:val="72"/>
        </w:rPr>
        <w:t xml:space="preserve"> Budget </w:t>
      </w:r>
      <w:r w:rsidR="008C5D2C" w:rsidRPr="008C5D2C">
        <w:rPr>
          <w:rFonts w:asciiTheme="minorHAnsi" w:hAnsiTheme="minorHAnsi"/>
          <w:b/>
          <w:bCs/>
          <w:color w:val="C00000"/>
          <w:sz w:val="72"/>
          <w:szCs w:val="72"/>
        </w:rPr>
        <w:t>Guidelines</w:t>
      </w:r>
    </w:p>
    <w:p w14:paraId="37EFDD51" w14:textId="677F5652" w:rsidR="00A53585" w:rsidRDefault="00A53585"/>
    <w:p w14:paraId="1B1F80E0" w14:textId="432B67AF" w:rsidR="00283AA8" w:rsidRPr="008C5D2C" w:rsidRDefault="008C5D2C" w:rsidP="008C5D2C">
      <w:pPr>
        <w:pStyle w:val="Subtitle"/>
        <w:jc w:val="center"/>
        <w:rPr>
          <w:color w:val="C00000"/>
          <w:sz w:val="48"/>
          <w:szCs w:val="48"/>
        </w:rPr>
      </w:pPr>
      <w:r w:rsidRPr="008C5D2C">
        <w:rPr>
          <w:color w:val="C00000"/>
          <w:sz w:val="48"/>
          <w:szCs w:val="48"/>
        </w:rPr>
        <w:t>July 1</w:t>
      </w:r>
      <w:r w:rsidRPr="008C5D2C">
        <w:rPr>
          <w:color w:val="C00000"/>
          <w:sz w:val="48"/>
          <w:szCs w:val="48"/>
          <w:vertAlign w:val="superscript"/>
        </w:rPr>
        <w:t>st</w:t>
      </w:r>
      <w:r>
        <w:rPr>
          <w:color w:val="C00000"/>
          <w:sz w:val="48"/>
          <w:szCs w:val="48"/>
        </w:rPr>
        <w:t>, 2021 -</w:t>
      </w:r>
      <w:r w:rsidRPr="008C5D2C">
        <w:rPr>
          <w:color w:val="C00000"/>
          <w:sz w:val="48"/>
          <w:szCs w:val="48"/>
        </w:rPr>
        <w:t xml:space="preserve"> June 30</w:t>
      </w:r>
      <w:r w:rsidRPr="008C5D2C">
        <w:rPr>
          <w:color w:val="C00000"/>
          <w:sz w:val="48"/>
          <w:szCs w:val="48"/>
          <w:vertAlign w:val="superscript"/>
        </w:rPr>
        <w:t>th</w:t>
      </w:r>
      <w:r>
        <w:rPr>
          <w:color w:val="C00000"/>
          <w:sz w:val="48"/>
          <w:szCs w:val="48"/>
        </w:rPr>
        <w:t>, 2022</w:t>
      </w:r>
    </w:p>
    <w:p w14:paraId="2DB21246" w14:textId="33B052EB" w:rsidR="00A53585" w:rsidRDefault="00A53585"/>
    <w:p w14:paraId="20E89C13" w14:textId="3A647772" w:rsidR="00A53585" w:rsidRDefault="00A53585"/>
    <w:p w14:paraId="27AA357B" w14:textId="68B4932E" w:rsidR="00A53585" w:rsidRDefault="00A53585">
      <w:r w:rsidRPr="00A53585">
        <w:rPr>
          <w:noProof/>
          <w:highlight w:val="yellow"/>
        </w:rPr>
        <w:drawing>
          <wp:anchor distT="0" distB="0" distL="114300" distR="114300" simplePos="0" relativeHeight="251663360" behindDoc="0" locked="0" layoutInCell="1" allowOverlap="1" wp14:anchorId="12C01F04" wp14:editId="3AC15491">
            <wp:simplePos x="0" y="0"/>
            <wp:positionH relativeFrom="margin">
              <wp:align>center</wp:align>
            </wp:positionH>
            <wp:positionV relativeFrom="paragraph">
              <wp:posOffset>33655</wp:posOffset>
            </wp:positionV>
            <wp:extent cx="3766820" cy="2075180"/>
            <wp:effectExtent l="19050" t="19050" r="24130" b="20320"/>
            <wp:wrapSquare wrapText="bothSides"/>
            <wp:docPr id="19" name="Picture 18" descr="Picture of NIU campus, with the Student Center Tower in the center along with Altgeld Ca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Picture of NIU campus, with the Student Center Tower in the center along with Altgeld Castle."/>
                    <pic:cNvPicPr>
                      <a:picLocks noChangeAspect="1"/>
                    </pic:cNvPicPr>
                  </pic:nvPicPr>
                  <pic:blipFill>
                    <a:blip r:embed="rId9"/>
                    <a:stretch>
                      <a:fillRect/>
                    </a:stretch>
                  </pic:blipFill>
                  <pic:spPr>
                    <a:xfrm>
                      <a:off x="0" y="0"/>
                      <a:ext cx="3766820" cy="2075180"/>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p>
    <w:p w14:paraId="6DF664C5" w14:textId="7632362F" w:rsidR="00A53585" w:rsidRDefault="00A53585"/>
    <w:p w14:paraId="21D18144" w14:textId="095D0425" w:rsidR="00A53585" w:rsidRDefault="00A53585"/>
    <w:p w14:paraId="54420D7D" w14:textId="77777777" w:rsidR="00A53585" w:rsidRDefault="00A53585"/>
    <w:p w14:paraId="47199CC8" w14:textId="77777777" w:rsidR="00A53585" w:rsidRDefault="00A53585"/>
    <w:p w14:paraId="71FF7861" w14:textId="0CC20CC5" w:rsidR="00A53585" w:rsidRDefault="00A53585"/>
    <w:p w14:paraId="2C2C65A2" w14:textId="77777777" w:rsidR="00A53585" w:rsidRDefault="00A53585"/>
    <w:p w14:paraId="468BF61E" w14:textId="77777777" w:rsidR="00A53585" w:rsidRDefault="00A53585"/>
    <w:p w14:paraId="44EE8F02" w14:textId="75BF8EAA" w:rsidR="00A53585" w:rsidRDefault="00A53585"/>
    <w:p w14:paraId="4FA5D86C" w14:textId="5C9204BE" w:rsidR="00A53585" w:rsidRDefault="00A53585"/>
    <w:p w14:paraId="67E24D94" w14:textId="24041A32" w:rsidR="00A53585" w:rsidRDefault="00A53585">
      <w:r w:rsidRPr="00A53585">
        <w:rPr>
          <w:noProof/>
          <w:highlight w:val="yellow"/>
        </w:rPr>
        <mc:AlternateContent>
          <mc:Choice Requires="wps">
            <w:drawing>
              <wp:anchor distT="0" distB="0" distL="114300" distR="114300" simplePos="0" relativeHeight="251662336" behindDoc="0" locked="0" layoutInCell="1" allowOverlap="1" wp14:anchorId="3D722EEF" wp14:editId="4C6DAB82">
                <wp:simplePos x="0" y="0"/>
                <wp:positionH relativeFrom="page">
                  <wp:align>right</wp:align>
                </wp:positionH>
                <wp:positionV relativeFrom="paragraph">
                  <wp:posOffset>759679</wp:posOffset>
                </wp:positionV>
                <wp:extent cx="7648575" cy="457200"/>
                <wp:effectExtent l="57150" t="95250" r="66675" b="19050"/>
                <wp:wrapNone/>
                <wp:docPr id="6" name="Rectangle 4"/>
                <wp:cNvGraphicFramePr/>
                <a:graphic xmlns:a="http://schemas.openxmlformats.org/drawingml/2006/main">
                  <a:graphicData uri="http://schemas.microsoft.com/office/word/2010/wordprocessingShape">
                    <wps:wsp>
                      <wps:cNvSpPr/>
                      <wps:spPr>
                        <a:xfrm>
                          <a:off x="0" y="0"/>
                          <a:ext cx="7648575" cy="457200"/>
                        </a:xfrm>
                        <a:prstGeom prst="rect">
                          <a:avLst/>
                        </a:prstGeom>
                        <a:solidFill>
                          <a:sysClr val="windowText" lastClr="000000"/>
                        </a:solidFill>
                        <a:ln w="12700" cap="flat" cmpd="sng" algn="ctr">
                          <a:noFill/>
                          <a:prstDash val="solid"/>
                          <a:miter lim="800000"/>
                        </a:ln>
                        <a:effectLst>
                          <a:outerShdw blurRad="50800" dist="38100" dir="16200000" rotWithShape="0">
                            <a:prstClr val="black">
                              <a:alpha val="40000"/>
                            </a:prstClr>
                          </a:outerShdw>
                        </a:effectLst>
                      </wps:spPr>
                      <wps:bodyPr rtlCol="0" anchor="ctr"/>
                    </wps:wsp>
                  </a:graphicData>
                </a:graphic>
                <wp14:sizeRelH relativeFrom="margin">
                  <wp14:pctWidth>0</wp14:pctWidth>
                </wp14:sizeRelH>
              </wp:anchor>
            </w:drawing>
          </mc:Choice>
          <mc:Fallback xmlns:w16sdtdh="http://schemas.microsoft.com/office/word/2020/wordml/sdtdatahash">
            <w:pict>
              <v:rect w14:anchorId="521AE641" id="Rectangle 4" o:spid="_x0000_s1026" style="position:absolute;margin-left:551.05pt;margin-top:59.8pt;width:602.25pt;height:36pt;z-index:251662336;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" fillcolor="windowText" stroked="f" strokeweight="1pt">
                <v:shadow on="t" color="black" opacity="26214f" origin=",.5" offset="0,-3pt"/>
                <w10:wrap anchorx="page"/>
              </v:rect>
            </w:pict>
          </mc:Fallback>
        </mc:AlternateContent>
      </w:r>
    </w:p>
    <w:p w14:paraId="153BF191" w14:textId="77777777" w:rsidR="00AA0DB2" w:rsidRDefault="00AA0DB2" w:rsidP="00AA0DB2">
      <w:pPr>
        <w:spacing w:after="0" w:line="240" w:lineRule="auto"/>
      </w:pPr>
    </w:p>
    <w:p w14:paraId="34E1ACB4" w14:textId="31586D7B" w:rsidR="00A53585" w:rsidRDefault="00A53585" w:rsidP="00540757">
      <w:pPr>
        <w:pStyle w:val="Heading1"/>
      </w:pPr>
      <w:bookmarkStart w:id="0" w:name="_Toc72327826"/>
      <w:r>
        <w:t>In-year Budget Guidelines and Request Process</w:t>
      </w:r>
      <w:bookmarkEnd w:id="0"/>
    </w:p>
    <w:p w14:paraId="26AAE540" w14:textId="77777777" w:rsidR="00E33207" w:rsidRPr="003931F6" w:rsidRDefault="00E33207" w:rsidP="009D759D">
      <w:pPr>
        <w:spacing w:after="0" w:line="240" w:lineRule="auto"/>
        <w:rPr>
          <w:rFonts w:eastAsiaTheme="minorEastAsia"/>
          <w:sz w:val="16"/>
          <w:szCs w:val="16"/>
          <w:u w:val="single"/>
        </w:rPr>
      </w:pPr>
    </w:p>
    <w:p w14:paraId="308E367A" w14:textId="60BBCB48" w:rsidR="009D759D" w:rsidRPr="00DE0E9A" w:rsidRDefault="009D759D" w:rsidP="003931F6">
      <w:pPr>
        <w:pStyle w:val="Heading2"/>
        <w:numPr>
          <w:ilvl w:val="0"/>
          <w:numId w:val="25"/>
        </w:numPr>
        <w:rPr>
          <w:rFonts w:eastAsiaTheme="minorEastAsia"/>
        </w:rPr>
      </w:pPr>
      <w:r w:rsidRPr="00DE0E9A">
        <w:rPr>
          <w:rFonts w:eastAsiaTheme="minorEastAsia"/>
        </w:rPr>
        <w:t>Scope of Guidelines</w:t>
      </w:r>
    </w:p>
    <w:p w14:paraId="5ACCA1BD" w14:textId="77777777" w:rsidR="009D759D" w:rsidRPr="00DE0E9A" w:rsidRDefault="009D759D" w:rsidP="00DE0E9A">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t>Applies to Funds 02, 04, 29, 41 and 55</w:t>
      </w:r>
    </w:p>
    <w:p w14:paraId="7765AB12" w14:textId="77777777" w:rsidR="009D759D" w:rsidRPr="00DE0E9A" w:rsidRDefault="009D759D" w:rsidP="00DE0E9A">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t>For Fiscal Year 2022</w:t>
      </w:r>
    </w:p>
    <w:p w14:paraId="1260C276" w14:textId="77777777" w:rsidR="009D759D" w:rsidRPr="00DE0E9A" w:rsidRDefault="009B7C8B" w:rsidP="00DE0E9A">
      <w:pPr>
        <w:pStyle w:val="ListParagraph"/>
        <w:numPr>
          <w:ilvl w:val="2"/>
          <w:numId w:val="25"/>
        </w:numPr>
        <w:spacing w:after="0" w:line="257" w:lineRule="auto"/>
        <w:rPr>
          <w:rFonts w:ascii="Calibri" w:eastAsiaTheme="minorEastAsia" w:hAnsi="Calibri" w:cs="Calibri"/>
          <w:color w:val="0563C1"/>
        </w:rPr>
      </w:pPr>
      <w:hyperlink r:id="rId10">
        <w:r w:rsidR="009D759D" w:rsidRPr="00DE0E9A">
          <w:rPr>
            <w:rStyle w:val="Hyperlink"/>
            <w:rFonts w:ascii="Calibri" w:eastAsiaTheme="minorEastAsia" w:hAnsi="Calibri" w:cs="Calibri"/>
          </w:rPr>
          <w:t>Balanced budget transfers</w:t>
        </w:r>
      </w:hyperlink>
      <w:r w:rsidR="009D759D" w:rsidRPr="00DE0E9A">
        <w:rPr>
          <w:rFonts w:ascii="Calibri" w:eastAsiaTheme="minorEastAsia" w:hAnsi="Calibri" w:cs="Calibri"/>
        </w:rPr>
        <w:t xml:space="preserve">: </w:t>
      </w:r>
    </w:p>
    <w:p w14:paraId="2510D228" w14:textId="77777777" w:rsidR="009D759D" w:rsidRPr="00DE0E9A" w:rsidRDefault="009D759D" w:rsidP="00DE0E9A">
      <w:pPr>
        <w:pStyle w:val="ListParagraph"/>
        <w:numPr>
          <w:ilvl w:val="3"/>
          <w:numId w:val="25"/>
        </w:numPr>
        <w:spacing w:after="0" w:line="257" w:lineRule="auto"/>
        <w:rPr>
          <w:rFonts w:ascii="Calibri" w:eastAsiaTheme="minorEastAsia" w:hAnsi="Calibri" w:cs="Calibri"/>
        </w:rPr>
      </w:pPr>
      <w:r w:rsidRPr="00DE0E9A">
        <w:rPr>
          <w:rFonts w:ascii="Calibri" w:eastAsiaTheme="minorEastAsia" w:hAnsi="Calibri" w:cs="Calibri"/>
        </w:rPr>
        <w:t>Available through PeopleSoft workflow (Self-Service)</w:t>
      </w:r>
    </w:p>
    <w:p w14:paraId="115AFF3B" w14:textId="77777777" w:rsidR="009D759D" w:rsidRPr="00DE0E9A" w:rsidRDefault="009D759D" w:rsidP="00DE0E9A">
      <w:pPr>
        <w:pStyle w:val="ListParagraph"/>
        <w:numPr>
          <w:ilvl w:val="3"/>
          <w:numId w:val="25"/>
        </w:numPr>
        <w:spacing w:after="0" w:line="257" w:lineRule="auto"/>
        <w:rPr>
          <w:rFonts w:ascii="Calibri" w:eastAsiaTheme="minorEastAsia" w:hAnsi="Calibri" w:cs="Calibri"/>
        </w:rPr>
      </w:pPr>
      <w:r w:rsidRPr="00DE0E9A">
        <w:rPr>
          <w:rFonts w:ascii="Calibri" w:eastAsiaTheme="minorEastAsia" w:hAnsi="Calibri" w:cs="Calibri"/>
        </w:rPr>
        <w:t>Do not require Budget Office authorization to execute</w:t>
      </w:r>
    </w:p>
    <w:p w14:paraId="6AFE44D6" w14:textId="77777777" w:rsidR="009D759D" w:rsidRPr="00DE0E9A" w:rsidRDefault="009D759D" w:rsidP="00DE0E9A">
      <w:pPr>
        <w:pStyle w:val="ListParagraph"/>
        <w:numPr>
          <w:ilvl w:val="3"/>
          <w:numId w:val="25"/>
        </w:numPr>
        <w:spacing w:after="0" w:line="257" w:lineRule="auto"/>
        <w:rPr>
          <w:rFonts w:ascii="Calibri" w:eastAsiaTheme="minorEastAsia" w:hAnsi="Calibri" w:cs="Calibri"/>
        </w:rPr>
      </w:pPr>
      <w:r w:rsidRPr="00DE0E9A">
        <w:rPr>
          <w:rFonts w:ascii="Calibri" w:eastAsiaTheme="minorEastAsia" w:hAnsi="Calibri" w:cs="Calibri"/>
        </w:rPr>
        <w:t>Posted within an hour but may be manually posted at any time</w:t>
      </w:r>
    </w:p>
    <w:p w14:paraId="37A3ADBE" w14:textId="77777777" w:rsidR="009D759D" w:rsidRPr="00DE0E9A" w:rsidRDefault="009D759D" w:rsidP="00DE0E9A">
      <w:pPr>
        <w:pStyle w:val="ListParagraph"/>
        <w:numPr>
          <w:ilvl w:val="2"/>
          <w:numId w:val="25"/>
        </w:numPr>
        <w:spacing w:after="0" w:line="257" w:lineRule="auto"/>
        <w:rPr>
          <w:rFonts w:ascii="Calibri" w:eastAsiaTheme="minorEastAsia" w:hAnsi="Calibri" w:cs="Calibri"/>
        </w:rPr>
      </w:pPr>
      <w:r w:rsidRPr="00DE0E9A">
        <w:rPr>
          <w:rFonts w:ascii="Calibri" w:eastAsiaTheme="minorEastAsia" w:hAnsi="Calibri" w:cs="Calibri"/>
        </w:rPr>
        <w:t xml:space="preserve">All other budget transfers and amendments: Requested through the completion of the appropriate budget transfer request form available </w:t>
      </w:r>
      <w:hyperlink r:id="rId11">
        <w:r w:rsidRPr="00DE0E9A">
          <w:rPr>
            <w:rStyle w:val="Hyperlink"/>
            <w:rFonts w:ascii="Calibri" w:eastAsiaTheme="minorEastAsia" w:hAnsi="Calibri" w:cs="Calibri"/>
          </w:rPr>
          <w:t>here</w:t>
        </w:r>
      </w:hyperlink>
      <w:r w:rsidRPr="00DE0E9A">
        <w:rPr>
          <w:rFonts w:ascii="Calibri" w:eastAsiaTheme="minorEastAsia" w:hAnsi="Calibri" w:cs="Calibri"/>
        </w:rPr>
        <w:t>.</w:t>
      </w:r>
    </w:p>
    <w:p w14:paraId="1D4D305C" w14:textId="77777777" w:rsidR="009D759D" w:rsidRPr="00DE0E9A" w:rsidRDefault="009D759D" w:rsidP="00DE0E9A">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t>Non-Balanced Requests must be material</w:t>
      </w:r>
    </w:p>
    <w:p w14:paraId="35450733" w14:textId="77777777" w:rsidR="009D759D" w:rsidRPr="00DE0E9A" w:rsidRDefault="009D759D" w:rsidP="00DE0E9A">
      <w:pPr>
        <w:pStyle w:val="ListParagraph"/>
        <w:numPr>
          <w:ilvl w:val="2"/>
          <w:numId w:val="25"/>
        </w:numPr>
        <w:spacing w:after="0" w:line="257" w:lineRule="auto"/>
        <w:rPr>
          <w:rFonts w:ascii="Calibri" w:eastAsiaTheme="minorEastAsia" w:hAnsi="Calibri" w:cs="Calibri"/>
        </w:rPr>
      </w:pPr>
      <w:r w:rsidRPr="00DE0E9A">
        <w:rPr>
          <w:rFonts w:ascii="Calibri" w:eastAsiaTheme="minorEastAsia" w:hAnsi="Calibri" w:cs="Calibri"/>
        </w:rPr>
        <w:t>Threshold:  &gt; $1,000 (smaller amounts should be accommodated locally)</w:t>
      </w:r>
    </w:p>
    <w:p w14:paraId="3431F7D6" w14:textId="77777777" w:rsidR="009D759D" w:rsidRPr="00DE0E9A" w:rsidRDefault="009D759D" w:rsidP="00DE0E9A">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t>The Budget Office has sole authority to determine what constitutes an individual budget guidelines request, both in scope and in completeness. With respect to scope, the Budget Office may separate components of requests into separate requests or aggregate separate requests into a single request. Advance consultation with the Budget Office prior to making a request is advisable if there are concerns about how components of the request should be bundled or unbundled. No request will be considered complete and advanced in the process unless it is certified as complete by the Budget Office. Advancement of a request through the Budget Guidelines process will indicate the Budget Office accepts both the scope and completeness of a request.</w:t>
      </w:r>
    </w:p>
    <w:p w14:paraId="7BFD8B14" w14:textId="5E0299BB" w:rsidR="009D759D" w:rsidRPr="00DE0E9A" w:rsidRDefault="009D759D" w:rsidP="003931F6">
      <w:pPr>
        <w:pStyle w:val="Heading2"/>
        <w:numPr>
          <w:ilvl w:val="0"/>
          <w:numId w:val="25"/>
        </w:numPr>
        <w:rPr>
          <w:rFonts w:eastAsiaTheme="minorEastAsia"/>
        </w:rPr>
      </w:pPr>
      <w:r w:rsidRPr="00DE0E9A">
        <w:rPr>
          <w:rFonts w:eastAsiaTheme="minorEastAsia"/>
        </w:rPr>
        <w:t>Types of Budget Requests</w:t>
      </w:r>
    </w:p>
    <w:p w14:paraId="48CD8343" w14:textId="77777777" w:rsidR="009D759D" w:rsidRPr="00DE0E9A" w:rsidRDefault="009D759D" w:rsidP="00DE0E9A">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t>Balanced Budget Transfer: PeopleSoft Self-Service (only availability)</w:t>
      </w:r>
    </w:p>
    <w:p w14:paraId="0F318B11" w14:textId="77777777" w:rsidR="009D759D" w:rsidRPr="00DE0E9A" w:rsidRDefault="009D759D" w:rsidP="00DE0E9A">
      <w:pPr>
        <w:pStyle w:val="ListParagraph"/>
        <w:numPr>
          <w:ilvl w:val="2"/>
          <w:numId w:val="25"/>
        </w:numPr>
        <w:spacing w:after="0" w:line="257" w:lineRule="auto"/>
        <w:rPr>
          <w:rFonts w:ascii="Calibri" w:eastAsiaTheme="minorEastAsia" w:hAnsi="Calibri" w:cs="Calibri"/>
        </w:rPr>
      </w:pPr>
      <w:r w:rsidRPr="00DE0E9A">
        <w:rPr>
          <w:rFonts w:ascii="Calibri" w:eastAsiaTheme="minorEastAsia" w:hAnsi="Calibri" w:cs="Calibri"/>
        </w:rPr>
        <w:t>Expense for Expense</w:t>
      </w:r>
    </w:p>
    <w:p w14:paraId="7AB0C9F6" w14:textId="77777777" w:rsidR="009D759D" w:rsidRPr="00DE0E9A" w:rsidRDefault="009D759D" w:rsidP="00DE0E9A">
      <w:pPr>
        <w:pStyle w:val="ListParagraph"/>
        <w:numPr>
          <w:ilvl w:val="2"/>
          <w:numId w:val="25"/>
        </w:numPr>
        <w:spacing w:after="0" w:line="257" w:lineRule="auto"/>
        <w:rPr>
          <w:rFonts w:ascii="Calibri" w:eastAsiaTheme="minorEastAsia" w:hAnsi="Calibri" w:cs="Calibri"/>
        </w:rPr>
      </w:pPr>
      <w:r w:rsidRPr="00DE0E9A">
        <w:rPr>
          <w:rFonts w:ascii="Calibri" w:eastAsiaTheme="minorEastAsia" w:hAnsi="Calibri" w:cs="Calibri"/>
        </w:rPr>
        <w:t>Centrally Funded (Expense for Expense): Inquire about Cost Center for Funding</w:t>
      </w:r>
    </w:p>
    <w:p w14:paraId="6B40EACF" w14:textId="77777777" w:rsidR="009D759D" w:rsidRPr="00DE0E9A" w:rsidRDefault="009D759D" w:rsidP="00DE0E9A">
      <w:pPr>
        <w:pStyle w:val="ListParagraph"/>
        <w:numPr>
          <w:ilvl w:val="2"/>
          <w:numId w:val="25"/>
        </w:numPr>
        <w:spacing w:after="0" w:line="257" w:lineRule="auto"/>
        <w:rPr>
          <w:rFonts w:ascii="Calibri" w:eastAsiaTheme="minorEastAsia" w:hAnsi="Calibri" w:cs="Calibri"/>
        </w:rPr>
      </w:pPr>
      <w:r w:rsidRPr="00DE0E9A">
        <w:rPr>
          <w:rFonts w:ascii="Calibri" w:eastAsiaTheme="minorEastAsia" w:hAnsi="Calibri" w:cs="Calibri"/>
        </w:rPr>
        <w:t>Revenue for Revenue</w:t>
      </w:r>
    </w:p>
    <w:p w14:paraId="347CFE90" w14:textId="77777777" w:rsidR="009D759D" w:rsidRPr="00DE0E9A" w:rsidRDefault="009D759D" w:rsidP="00DE0E9A">
      <w:pPr>
        <w:pStyle w:val="ListParagraph"/>
        <w:numPr>
          <w:ilvl w:val="2"/>
          <w:numId w:val="25"/>
        </w:numPr>
        <w:spacing w:after="0" w:line="257" w:lineRule="auto"/>
        <w:rPr>
          <w:rFonts w:ascii="Calibri" w:eastAsiaTheme="minorEastAsia" w:hAnsi="Calibri" w:cs="Calibri"/>
        </w:rPr>
      </w:pPr>
      <w:r w:rsidRPr="00DE0E9A">
        <w:rPr>
          <w:rFonts w:ascii="Calibri" w:eastAsiaTheme="minorEastAsia" w:hAnsi="Calibri" w:cs="Calibri"/>
        </w:rPr>
        <w:t>Transfer-In for Transfer-Out (Revenue Sub-Type - 500-Series Account Codes)</w:t>
      </w:r>
    </w:p>
    <w:p w14:paraId="3A3E9B6D" w14:textId="77777777" w:rsidR="009D759D" w:rsidRPr="00DE0E9A" w:rsidRDefault="009D759D" w:rsidP="00DE0E9A">
      <w:pPr>
        <w:pStyle w:val="ListParagraph"/>
        <w:numPr>
          <w:ilvl w:val="3"/>
          <w:numId w:val="25"/>
        </w:numPr>
        <w:spacing w:after="0" w:line="257" w:lineRule="auto"/>
        <w:rPr>
          <w:rFonts w:ascii="Calibri" w:eastAsiaTheme="minorEastAsia" w:hAnsi="Calibri" w:cs="Calibri"/>
        </w:rPr>
      </w:pPr>
      <w:r w:rsidRPr="00DE0E9A">
        <w:rPr>
          <w:rFonts w:ascii="Calibri" w:eastAsiaTheme="minorEastAsia" w:hAnsi="Calibri" w:cs="Calibri"/>
        </w:rPr>
        <w:t>Required for Non-02-Fund Cost Center without Revenue</w:t>
      </w:r>
    </w:p>
    <w:p w14:paraId="61654A93" w14:textId="694AB825" w:rsidR="009D759D" w:rsidRPr="00DE0E9A" w:rsidRDefault="009D759D" w:rsidP="00DE0E9A">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t xml:space="preserve">Revenue-Justified Transfer: E-Mail Submission via Form </w:t>
      </w:r>
      <w:r w:rsidRPr="00DE0E9A">
        <w:rPr>
          <w:rFonts w:ascii="Calibri" w:eastAsiaTheme="minorEastAsia" w:hAnsi="Calibri" w:cs="Calibri"/>
          <w:u w:val="single"/>
        </w:rPr>
        <w:t>with</w:t>
      </w:r>
      <w:r w:rsidRPr="00DE0E9A">
        <w:rPr>
          <w:rFonts w:ascii="Calibri" w:eastAsiaTheme="minorEastAsia" w:hAnsi="Calibri" w:cs="Calibri"/>
        </w:rPr>
        <w:t xml:space="preserve"> Documentation</w:t>
      </w:r>
    </w:p>
    <w:p w14:paraId="05EAD574" w14:textId="77777777" w:rsidR="009D759D" w:rsidRPr="00DE0E9A" w:rsidRDefault="009D759D" w:rsidP="00DE0E9A">
      <w:pPr>
        <w:pStyle w:val="ListParagraph"/>
        <w:numPr>
          <w:ilvl w:val="2"/>
          <w:numId w:val="25"/>
        </w:numPr>
        <w:spacing w:after="0" w:line="257" w:lineRule="auto"/>
        <w:rPr>
          <w:rFonts w:ascii="Calibri" w:eastAsiaTheme="minorEastAsia" w:hAnsi="Calibri" w:cs="Calibri"/>
        </w:rPr>
      </w:pPr>
      <w:r w:rsidRPr="00DE0E9A">
        <w:rPr>
          <w:rFonts w:ascii="Calibri" w:eastAsiaTheme="minorEastAsia" w:hAnsi="Calibri" w:cs="Calibri"/>
        </w:rPr>
        <w:t>Increase of Expense justified by New Revenue/Business</w:t>
      </w:r>
    </w:p>
    <w:p w14:paraId="5B6521FC" w14:textId="10AFDCE3" w:rsidR="009D759D" w:rsidRPr="004A18D1" w:rsidRDefault="009D759D" w:rsidP="004A18D1">
      <w:pPr>
        <w:pStyle w:val="ListParagraph"/>
        <w:numPr>
          <w:ilvl w:val="3"/>
          <w:numId w:val="25"/>
        </w:numPr>
        <w:spacing w:after="0" w:line="257" w:lineRule="auto"/>
        <w:rPr>
          <w:rFonts w:ascii="Calibri" w:eastAsiaTheme="minorEastAsia" w:hAnsi="Calibri" w:cs="Calibri"/>
        </w:rPr>
      </w:pPr>
      <w:r w:rsidRPr="00DE0E9A">
        <w:rPr>
          <w:rFonts w:ascii="Calibri" w:eastAsiaTheme="minorEastAsia" w:hAnsi="Calibri" w:cs="Calibri"/>
        </w:rPr>
        <w:t>New: No ability to forecast/foresee and/or compared to previous years</w:t>
      </w:r>
      <w:r w:rsidR="004A18D1">
        <w:rPr>
          <w:rFonts w:ascii="Calibri" w:eastAsiaTheme="minorEastAsia" w:hAnsi="Calibri" w:cs="Calibri"/>
        </w:rPr>
        <w:t xml:space="preserve">; </w:t>
      </w:r>
      <w:r w:rsidRPr="004A18D1">
        <w:rPr>
          <w:rFonts w:ascii="Calibri" w:eastAsiaTheme="minorEastAsia" w:hAnsi="Calibri" w:cs="Calibri"/>
        </w:rPr>
        <w:t>Exception to “New”: Loss of Revenue Disclosed during Budget Prep</w:t>
      </w:r>
    </w:p>
    <w:p w14:paraId="51D59D15" w14:textId="77777777" w:rsidR="009D759D" w:rsidRPr="00DE0E9A" w:rsidRDefault="009D759D" w:rsidP="004A18D1">
      <w:pPr>
        <w:pStyle w:val="ListParagraph"/>
        <w:numPr>
          <w:ilvl w:val="3"/>
          <w:numId w:val="25"/>
        </w:numPr>
        <w:spacing w:after="0" w:line="257" w:lineRule="auto"/>
        <w:rPr>
          <w:rFonts w:ascii="Calibri" w:eastAsiaTheme="minorEastAsia" w:hAnsi="Calibri" w:cs="Calibri"/>
        </w:rPr>
      </w:pPr>
      <w:r w:rsidRPr="00DE0E9A">
        <w:rPr>
          <w:rFonts w:ascii="Calibri" w:eastAsiaTheme="minorEastAsia" w:hAnsi="Calibri" w:cs="Calibri"/>
        </w:rPr>
        <w:t>Documentation Requirement Applies: New Contract, Contract Addendum, etc.</w:t>
      </w:r>
    </w:p>
    <w:p w14:paraId="0AF814FC" w14:textId="77777777" w:rsidR="009D759D" w:rsidRPr="00DE0E9A" w:rsidRDefault="009D759D" w:rsidP="004A18D1">
      <w:pPr>
        <w:pStyle w:val="ListParagraph"/>
        <w:numPr>
          <w:ilvl w:val="3"/>
          <w:numId w:val="25"/>
        </w:numPr>
        <w:spacing w:after="0" w:line="257" w:lineRule="auto"/>
        <w:rPr>
          <w:rFonts w:ascii="Calibri" w:eastAsiaTheme="minorEastAsia" w:hAnsi="Calibri" w:cs="Calibri"/>
        </w:rPr>
      </w:pPr>
      <w:r w:rsidRPr="00DE0E9A">
        <w:rPr>
          <w:rFonts w:ascii="Calibri" w:eastAsiaTheme="minorEastAsia" w:hAnsi="Calibri" w:cs="Calibri"/>
        </w:rPr>
        <w:t>Must receive funds locally (not assigned centrally): Thus, must be 04, 41, or 55-fund or, with Provost approval, 02-fund differential cost center.</w:t>
      </w:r>
    </w:p>
    <w:p w14:paraId="6A49BFAA" w14:textId="77777777" w:rsidR="009D759D" w:rsidRPr="00DE0E9A" w:rsidRDefault="009D759D" w:rsidP="004A18D1">
      <w:pPr>
        <w:pStyle w:val="ListParagraph"/>
        <w:numPr>
          <w:ilvl w:val="3"/>
          <w:numId w:val="25"/>
        </w:numPr>
        <w:spacing w:after="0" w:line="257" w:lineRule="auto"/>
        <w:rPr>
          <w:rFonts w:ascii="Calibri" w:eastAsiaTheme="minorEastAsia" w:hAnsi="Calibri" w:cs="Calibri"/>
        </w:rPr>
      </w:pPr>
      <w:r w:rsidRPr="00DE0E9A">
        <w:rPr>
          <w:rFonts w:ascii="Calibri" w:eastAsiaTheme="minorEastAsia" w:hAnsi="Calibri" w:cs="Calibri"/>
        </w:rPr>
        <w:t>Examples: Student Fundraisers, New or Addendum of Sales/Service Contract, etc.</w:t>
      </w:r>
    </w:p>
    <w:p w14:paraId="155377CF" w14:textId="56130BCF" w:rsidR="009D759D" w:rsidRPr="00DE0E9A" w:rsidRDefault="009D759D" w:rsidP="00DE0E9A">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t>Unbalanced Transfer: E-Mail Submission via Form</w:t>
      </w:r>
    </w:p>
    <w:p w14:paraId="3E27FF4A" w14:textId="77777777" w:rsidR="009D759D" w:rsidRPr="00DE0E9A" w:rsidRDefault="009D759D" w:rsidP="00DE0E9A">
      <w:pPr>
        <w:pStyle w:val="ListParagraph"/>
        <w:numPr>
          <w:ilvl w:val="2"/>
          <w:numId w:val="25"/>
        </w:numPr>
        <w:spacing w:after="0" w:line="257" w:lineRule="auto"/>
        <w:rPr>
          <w:rFonts w:ascii="Calibri" w:eastAsiaTheme="minorEastAsia" w:hAnsi="Calibri" w:cs="Calibri"/>
        </w:rPr>
      </w:pPr>
      <w:r w:rsidRPr="00DE0E9A">
        <w:rPr>
          <w:rFonts w:ascii="Calibri" w:eastAsiaTheme="minorEastAsia" w:hAnsi="Calibri" w:cs="Calibri"/>
        </w:rPr>
        <w:t>Spend Down Request</w:t>
      </w:r>
    </w:p>
    <w:p w14:paraId="1F79917A" w14:textId="77777777" w:rsidR="009D759D" w:rsidRPr="00DE0E9A" w:rsidRDefault="009D759D" w:rsidP="00DE0E9A">
      <w:pPr>
        <w:pStyle w:val="ListParagraph"/>
        <w:numPr>
          <w:ilvl w:val="2"/>
          <w:numId w:val="25"/>
        </w:numPr>
        <w:spacing w:after="0" w:line="257" w:lineRule="auto"/>
        <w:rPr>
          <w:rFonts w:ascii="Calibri" w:eastAsiaTheme="minorEastAsia" w:hAnsi="Calibri" w:cs="Calibri"/>
        </w:rPr>
      </w:pPr>
      <w:r w:rsidRPr="00DE0E9A">
        <w:rPr>
          <w:rFonts w:ascii="Calibri" w:eastAsiaTheme="minorEastAsia" w:hAnsi="Calibri" w:cs="Calibri"/>
        </w:rPr>
        <w:t>Strategic Budget Expansion (extension of Budget Prep through leadership permission)</w:t>
      </w:r>
    </w:p>
    <w:p w14:paraId="15CEB5C3" w14:textId="5206B87B" w:rsidR="009D759D" w:rsidRPr="00DE0E9A" w:rsidRDefault="009D759D" w:rsidP="003931F6">
      <w:pPr>
        <w:pStyle w:val="Heading2"/>
        <w:numPr>
          <w:ilvl w:val="0"/>
          <w:numId w:val="25"/>
        </w:numPr>
        <w:rPr>
          <w:rFonts w:eastAsiaTheme="minorEastAsia"/>
        </w:rPr>
      </w:pPr>
      <w:r w:rsidRPr="00DE0E9A">
        <w:rPr>
          <w:rFonts w:eastAsiaTheme="minorEastAsia"/>
        </w:rPr>
        <w:lastRenderedPageBreak/>
        <w:t xml:space="preserve">Requests </w:t>
      </w:r>
      <w:r w:rsidR="003931F6" w:rsidRPr="00DE0E9A">
        <w:rPr>
          <w:rFonts w:eastAsiaTheme="minorEastAsia"/>
        </w:rPr>
        <w:t xml:space="preserve">Budget </w:t>
      </w:r>
      <w:r w:rsidRPr="00DE0E9A">
        <w:rPr>
          <w:rFonts w:eastAsiaTheme="minorEastAsia"/>
        </w:rPr>
        <w:t>unlikely to be approved</w:t>
      </w:r>
      <w:r w:rsidR="004A18D1">
        <w:rPr>
          <w:rFonts w:eastAsiaTheme="minorEastAsia"/>
        </w:rPr>
        <w:t xml:space="preserve"> (depending on current fiscal environment)</w:t>
      </w:r>
      <w:r w:rsidRPr="00DE0E9A">
        <w:rPr>
          <w:rFonts w:eastAsiaTheme="minorEastAsia"/>
        </w:rPr>
        <w:t>:</w:t>
      </w:r>
    </w:p>
    <w:p w14:paraId="361FB569" w14:textId="05AE9D53" w:rsidR="009D759D" w:rsidRPr="00DE0E9A" w:rsidRDefault="009D759D" w:rsidP="00DE0E9A">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t>Spend Down Requests of any amount</w:t>
      </w:r>
      <w:r w:rsidR="00DE0E9A">
        <w:rPr>
          <w:rFonts w:ascii="Calibri" w:eastAsiaTheme="minorEastAsia" w:hAnsi="Calibri" w:cs="Calibri"/>
        </w:rPr>
        <w:t xml:space="preserve"> (Note: This is not a prohibition on requests)</w:t>
      </w:r>
    </w:p>
    <w:p w14:paraId="797F4021" w14:textId="77777777" w:rsidR="009D759D" w:rsidRPr="00DE0E9A" w:rsidRDefault="009D759D" w:rsidP="00DE0E9A">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t>Budget expense increases (expansion without documented university leadership approval)</w:t>
      </w:r>
    </w:p>
    <w:p w14:paraId="21CC1AAA" w14:textId="77777777" w:rsidR="009D759D" w:rsidRPr="00DE0E9A" w:rsidRDefault="009D759D" w:rsidP="00DE0E9A">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t>Revenue-justified transfers without documentation</w:t>
      </w:r>
    </w:p>
    <w:p w14:paraId="2E27BC28" w14:textId="0724077C" w:rsidR="009D759D" w:rsidRPr="00DE0E9A" w:rsidRDefault="009D759D" w:rsidP="00DE0E9A">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t>Expense Increases paid from Central</w:t>
      </w:r>
      <w:r w:rsidR="00DE0E9A">
        <w:rPr>
          <w:rFonts w:ascii="Calibri" w:eastAsiaTheme="minorEastAsia" w:hAnsi="Calibri" w:cs="Calibri"/>
        </w:rPr>
        <w:t xml:space="preserve"> Services</w:t>
      </w:r>
    </w:p>
    <w:p w14:paraId="456A208D" w14:textId="2081DD09" w:rsidR="009D759D" w:rsidRPr="00DE0E9A" w:rsidRDefault="009D759D" w:rsidP="003931F6">
      <w:pPr>
        <w:pStyle w:val="Heading2"/>
        <w:numPr>
          <w:ilvl w:val="0"/>
          <w:numId w:val="25"/>
        </w:numPr>
        <w:rPr>
          <w:rFonts w:eastAsiaTheme="minorEastAsia"/>
        </w:rPr>
      </w:pPr>
      <w:r w:rsidRPr="00DE0E9A">
        <w:rPr>
          <w:rFonts w:eastAsiaTheme="minorEastAsia"/>
        </w:rPr>
        <w:t>Process for Balanced Budget Transfers (</w:t>
      </w:r>
      <w:r w:rsidR="003931F6">
        <w:rPr>
          <w:rFonts w:eastAsiaTheme="minorEastAsia"/>
        </w:rPr>
        <w:t xml:space="preserve">About </w:t>
      </w:r>
      <w:r w:rsidRPr="00DE0E9A">
        <w:rPr>
          <w:rFonts w:eastAsiaTheme="minorEastAsia"/>
        </w:rPr>
        <w:t>95% of Request in Previous Years)</w:t>
      </w:r>
    </w:p>
    <w:p w14:paraId="136F88C8" w14:textId="77777777" w:rsidR="009D759D" w:rsidRPr="00DE0E9A" w:rsidRDefault="009D759D" w:rsidP="00DE0E9A">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t>Submission -&gt; PeopleSoft: Commitment Control &gt; Budget Journals &gt; Budget Transfer</w:t>
      </w:r>
    </w:p>
    <w:p w14:paraId="38DF260A" w14:textId="77777777" w:rsidR="009D759D" w:rsidRPr="00DE0E9A" w:rsidRDefault="009D759D" w:rsidP="00DE0E9A">
      <w:pPr>
        <w:pStyle w:val="ListParagraph"/>
        <w:numPr>
          <w:ilvl w:val="2"/>
          <w:numId w:val="25"/>
        </w:numPr>
        <w:spacing w:after="0" w:line="257" w:lineRule="auto"/>
        <w:rPr>
          <w:rFonts w:ascii="Calibri" w:eastAsiaTheme="minorEastAsia" w:hAnsi="Calibri" w:cs="Calibri"/>
        </w:rPr>
      </w:pPr>
      <w:r w:rsidRPr="00DE0E9A">
        <w:rPr>
          <w:rFonts w:ascii="Calibri" w:eastAsiaTheme="minorEastAsia" w:hAnsi="Calibri" w:cs="Calibri"/>
        </w:rPr>
        <w:t>Requirements: Passing Budget Checking</w:t>
      </w:r>
    </w:p>
    <w:p w14:paraId="63C32F1D" w14:textId="77777777" w:rsidR="009D759D" w:rsidRPr="00DE0E9A" w:rsidRDefault="009D759D" w:rsidP="00DE0E9A">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t>Approval -&gt; Workflow: Via e-mail notification within units affected</w:t>
      </w:r>
    </w:p>
    <w:p w14:paraId="51F35170" w14:textId="77777777" w:rsidR="009D759D" w:rsidRPr="00DE0E9A" w:rsidRDefault="009D759D" w:rsidP="00DE0E9A">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t>Posting -&gt; Auto-posted hourly with option to post manually sooner</w:t>
      </w:r>
    </w:p>
    <w:p w14:paraId="7E8810B9" w14:textId="1EA50B8E" w:rsidR="009D759D" w:rsidRPr="00DE0E9A" w:rsidRDefault="009D759D" w:rsidP="003931F6">
      <w:pPr>
        <w:pStyle w:val="Heading2"/>
        <w:numPr>
          <w:ilvl w:val="0"/>
          <w:numId w:val="25"/>
        </w:numPr>
        <w:rPr>
          <w:rFonts w:eastAsiaTheme="minorEastAsia"/>
        </w:rPr>
      </w:pPr>
      <w:r w:rsidRPr="00DE0E9A">
        <w:rPr>
          <w:rFonts w:eastAsiaTheme="minorEastAsia"/>
        </w:rPr>
        <w:t>Process for Revenue-Justified Transfers (Up to 5% of Requests in Previous Years)</w:t>
      </w:r>
    </w:p>
    <w:p w14:paraId="44F67DA5" w14:textId="77777777" w:rsidR="009D759D" w:rsidRPr="00DE0E9A" w:rsidRDefault="009D759D" w:rsidP="00DE0E9A">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t xml:space="preserve">Submission -&gt; E-mail from Division/College Business Manager with completed </w:t>
      </w:r>
      <w:hyperlink r:id="rId12">
        <w:r w:rsidRPr="00DE0E9A">
          <w:rPr>
            <w:rStyle w:val="Hyperlink"/>
            <w:rFonts w:ascii="Calibri" w:eastAsiaTheme="minorEastAsia" w:hAnsi="Calibri" w:cs="Calibri"/>
          </w:rPr>
          <w:t>budget transfer form</w:t>
        </w:r>
      </w:hyperlink>
      <w:r w:rsidRPr="00DE0E9A">
        <w:rPr>
          <w:rFonts w:ascii="Calibri" w:eastAsiaTheme="minorEastAsia" w:hAnsi="Calibri" w:cs="Calibri"/>
        </w:rPr>
        <w:t xml:space="preserve"> should be sent to </w:t>
      </w:r>
      <w:hyperlink r:id="rId13">
        <w:r w:rsidRPr="00DE0E9A">
          <w:rPr>
            <w:rStyle w:val="Hyperlink"/>
            <w:rFonts w:ascii="Calibri" w:eastAsiaTheme="minorEastAsia" w:hAnsi="Calibri" w:cs="Calibri"/>
          </w:rPr>
          <w:t>TransfersExceptions@niu.edu</w:t>
        </w:r>
      </w:hyperlink>
      <w:r w:rsidRPr="00DE0E9A">
        <w:rPr>
          <w:rFonts w:ascii="Calibri" w:eastAsiaTheme="minorEastAsia" w:hAnsi="Calibri" w:cs="Calibri"/>
          <w:color w:val="000000" w:themeColor="text1"/>
        </w:rPr>
        <w:t>.</w:t>
      </w:r>
      <w:r w:rsidRPr="00DE0E9A">
        <w:rPr>
          <w:rFonts w:ascii="Calibri" w:eastAsiaTheme="minorEastAsia" w:hAnsi="Calibri" w:cs="Calibri"/>
        </w:rPr>
        <w:t xml:space="preserve"> Attach the necessary documentation as evidence of the revenues how/why they were excluded from budget prep. Some examples to document the new revenues are contracts, contract addendums, already realized sale increases or otherwise demonstrate a commitment to NIU for payment. Documentation should </w:t>
      </w:r>
      <w:r w:rsidRPr="00DE0E9A">
        <w:rPr>
          <w:rFonts w:ascii="Calibri" w:eastAsiaTheme="minorEastAsia" w:hAnsi="Calibri" w:cs="Calibri"/>
          <w:u w:val="single"/>
        </w:rPr>
        <w:t>always</w:t>
      </w:r>
      <w:r w:rsidRPr="00DE0E9A">
        <w:rPr>
          <w:rFonts w:ascii="Calibri" w:eastAsiaTheme="minorEastAsia" w:hAnsi="Calibri" w:cs="Calibri"/>
        </w:rPr>
        <w:t xml:space="preserve"> include a dated overview by fund for which increase is requested and prorated for the fiscal year within the unit (Division or Academic College). The overview should be contrasting budgets to actuals listing revenues and expenses.</w:t>
      </w:r>
    </w:p>
    <w:p w14:paraId="3F3F0745" w14:textId="77777777" w:rsidR="009D759D" w:rsidRPr="00DE0E9A" w:rsidRDefault="009D759D" w:rsidP="00DE0E9A">
      <w:pPr>
        <w:pStyle w:val="ListParagraph"/>
        <w:numPr>
          <w:ilvl w:val="2"/>
          <w:numId w:val="25"/>
        </w:numPr>
        <w:spacing w:after="0" w:line="257" w:lineRule="auto"/>
        <w:rPr>
          <w:rFonts w:ascii="Calibri" w:eastAsiaTheme="minorEastAsia" w:hAnsi="Calibri" w:cs="Calibri"/>
        </w:rPr>
      </w:pPr>
      <w:r w:rsidRPr="00DE0E9A">
        <w:rPr>
          <w:rFonts w:ascii="Calibri" w:eastAsiaTheme="minorEastAsia" w:hAnsi="Calibri" w:cs="Calibri"/>
        </w:rPr>
        <w:t>Requirements:</w:t>
      </w:r>
    </w:p>
    <w:p w14:paraId="7006C438" w14:textId="77777777" w:rsidR="009D759D" w:rsidRPr="00DE0E9A" w:rsidRDefault="009D759D" w:rsidP="00DE0E9A">
      <w:pPr>
        <w:pStyle w:val="ListParagraph"/>
        <w:numPr>
          <w:ilvl w:val="3"/>
          <w:numId w:val="25"/>
        </w:numPr>
        <w:spacing w:after="0" w:line="257" w:lineRule="auto"/>
        <w:rPr>
          <w:rFonts w:ascii="Calibri" w:eastAsiaTheme="minorEastAsia" w:hAnsi="Calibri" w:cs="Calibri"/>
        </w:rPr>
      </w:pPr>
      <w:r w:rsidRPr="00DE0E9A">
        <w:rPr>
          <w:rFonts w:ascii="Calibri" w:eastAsiaTheme="minorEastAsia" w:hAnsi="Calibri" w:cs="Calibri"/>
        </w:rPr>
        <w:t>Documentation satisfies new revenue burden of proof</w:t>
      </w:r>
    </w:p>
    <w:p w14:paraId="4EA29699" w14:textId="77777777" w:rsidR="009D759D" w:rsidRPr="00DE0E9A" w:rsidRDefault="009D759D" w:rsidP="00DE0E9A">
      <w:pPr>
        <w:pStyle w:val="ListParagraph"/>
        <w:numPr>
          <w:ilvl w:val="3"/>
          <w:numId w:val="25"/>
        </w:numPr>
        <w:spacing w:after="0" w:line="257" w:lineRule="auto"/>
        <w:rPr>
          <w:rFonts w:ascii="Calibri" w:eastAsiaTheme="minorEastAsia" w:hAnsi="Calibri" w:cs="Calibri"/>
        </w:rPr>
      </w:pPr>
      <w:r w:rsidRPr="00DE0E9A">
        <w:rPr>
          <w:rFonts w:ascii="Calibri" w:eastAsiaTheme="minorEastAsia" w:hAnsi="Calibri" w:cs="Calibri"/>
        </w:rPr>
        <w:t>Documentation satisfies additional revenues burden of proof in cost center</w:t>
      </w:r>
    </w:p>
    <w:p w14:paraId="4E7847F8" w14:textId="77777777" w:rsidR="009D759D" w:rsidRPr="00DE0E9A" w:rsidRDefault="009D759D" w:rsidP="00DE0E9A">
      <w:pPr>
        <w:pStyle w:val="ListParagraph"/>
        <w:numPr>
          <w:ilvl w:val="3"/>
          <w:numId w:val="25"/>
        </w:numPr>
        <w:spacing w:after="0" w:line="257" w:lineRule="auto"/>
        <w:rPr>
          <w:rFonts w:ascii="Calibri" w:eastAsiaTheme="minorEastAsia" w:hAnsi="Calibri" w:cs="Calibri"/>
        </w:rPr>
      </w:pPr>
      <w:r w:rsidRPr="00DE0E9A">
        <w:rPr>
          <w:rFonts w:ascii="Calibri" w:eastAsiaTheme="minorEastAsia" w:hAnsi="Calibri" w:cs="Calibri"/>
        </w:rPr>
        <w:t>Documentation satisfies additional revenues burden of proof in Division/College</w:t>
      </w:r>
    </w:p>
    <w:p w14:paraId="776DCD82" w14:textId="77777777" w:rsidR="009D759D" w:rsidRPr="00DE0E9A" w:rsidRDefault="009D759D" w:rsidP="00DE0E9A">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t xml:space="preserve">Approval -&gt; The requesting unit is responsible for providing all relevant or requested information. The Budget Office will examine ALL revenues of the requesting unit, which must demonstrate that current revenues are projected to meet or exceed budget within the cost center and throughout same-fund cost centers controlled by the requesting unit. The Budget Office, based on the circumstances of the request, will determine the definition of “unit” for the revenue review purposes. </w:t>
      </w:r>
    </w:p>
    <w:p w14:paraId="4A71DAF4" w14:textId="77777777" w:rsidR="009D759D" w:rsidRPr="00DE0E9A" w:rsidRDefault="009D759D" w:rsidP="00DE0E9A">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t>Posting -&gt; Done by the Budget Office without further leadership approval. In case the conditions are not met for a Revenue-Justified Transfer, the unit has the option to request processing the transfer request as an Unbalanced Transfer.</w:t>
      </w:r>
    </w:p>
    <w:p w14:paraId="0CE99DAF" w14:textId="338EBA91" w:rsidR="009D759D" w:rsidRPr="00DE0E9A" w:rsidRDefault="009D759D" w:rsidP="003931F6">
      <w:pPr>
        <w:pStyle w:val="Heading2"/>
        <w:numPr>
          <w:ilvl w:val="0"/>
          <w:numId w:val="25"/>
        </w:numPr>
        <w:rPr>
          <w:rFonts w:eastAsiaTheme="minorEastAsia"/>
        </w:rPr>
      </w:pPr>
      <w:r w:rsidRPr="00DE0E9A">
        <w:rPr>
          <w:rFonts w:eastAsiaTheme="minorEastAsia"/>
        </w:rPr>
        <w:t>Process for Unbalanced Transfers (Less than 1% of Requests in Previous Years)</w:t>
      </w:r>
    </w:p>
    <w:p w14:paraId="7952EA48" w14:textId="77777777" w:rsidR="009D759D" w:rsidRPr="00DE0E9A" w:rsidRDefault="009D759D" w:rsidP="00DE0E9A">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t xml:space="preserve">Submission -&gt; E-mail from Division/College Business Manager with completed budget transfer form should be sent to </w:t>
      </w:r>
      <w:hyperlink r:id="rId14">
        <w:r w:rsidRPr="00DE0E9A">
          <w:rPr>
            <w:rStyle w:val="Hyperlink"/>
            <w:rFonts w:ascii="Calibri" w:eastAsiaTheme="minorEastAsia" w:hAnsi="Calibri" w:cs="Calibri"/>
          </w:rPr>
          <w:t>TransfersExceptions@niu.edu</w:t>
        </w:r>
      </w:hyperlink>
      <w:r w:rsidRPr="00DE0E9A">
        <w:rPr>
          <w:rFonts w:ascii="Calibri" w:eastAsiaTheme="minorEastAsia" w:hAnsi="Calibri" w:cs="Calibri"/>
        </w:rPr>
        <w:t>. In the email subject, list justification (i.e. Spend-Down, Strategic or Other Budget Expansion) for the budget request.</w:t>
      </w:r>
    </w:p>
    <w:p w14:paraId="7CF2D6B2" w14:textId="77777777" w:rsidR="009D759D" w:rsidRPr="00DE0E9A" w:rsidRDefault="009D759D" w:rsidP="00DE0E9A">
      <w:pPr>
        <w:pStyle w:val="ListParagraph"/>
        <w:numPr>
          <w:ilvl w:val="2"/>
          <w:numId w:val="25"/>
        </w:numPr>
        <w:spacing w:after="0" w:line="257" w:lineRule="auto"/>
        <w:rPr>
          <w:rFonts w:ascii="Calibri" w:eastAsiaTheme="minorEastAsia" w:hAnsi="Calibri" w:cs="Calibri"/>
        </w:rPr>
      </w:pPr>
      <w:r w:rsidRPr="00DE0E9A">
        <w:rPr>
          <w:rFonts w:ascii="Calibri" w:eastAsiaTheme="minorEastAsia" w:hAnsi="Calibri" w:cs="Calibri"/>
        </w:rPr>
        <w:lastRenderedPageBreak/>
        <w:t>No specific requirements of supporting information, except for the need of fund balance for spend-downs and an outline of the strategic nature to be considered for either.</w:t>
      </w:r>
    </w:p>
    <w:p w14:paraId="0B236553" w14:textId="77777777" w:rsidR="009D759D" w:rsidRPr="00DE0E9A" w:rsidRDefault="009D759D" w:rsidP="00DE0E9A">
      <w:pPr>
        <w:pStyle w:val="ListParagraph"/>
        <w:numPr>
          <w:ilvl w:val="2"/>
          <w:numId w:val="25"/>
        </w:numPr>
        <w:spacing w:after="0" w:line="257" w:lineRule="auto"/>
        <w:rPr>
          <w:rFonts w:ascii="Calibri" w:eastAsiaTheme="minorEastAsia" w:hAnsi="Calibri" w:cs="Calibri"/>
        </w:rPr>
      </w:pPr>
      <w:r w:rsidRPr="00DE0E9A">
        <w:rPr>
          <w:rFonts w:ascii="Calibri" w:eastAsiaTheme="minorEastAsia" w:hAnsi="Calibri" w:cs="Calibri"/>
        </w:rPr>
        <w:t>Review by leadership will include university-wide consideration of financial health and other competing funding requests.</w:t>
      </w:r>
    </w:p>
    <w:p w14:paraId="67F2E1F7" w14:textId="77777777" w:rsidR="009D759D" w:rsidRPr="00DE0E9A" w:rsidRDefault="009D759D" w:rsidP="00DE0E9A">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t>Approval -&gt; After Budget Office review a valid/complete request will be forwarded according to the following approval hierarchy:</w:t>
      </w:r>
    </w:p>
    <w:p w14:paraId="6BD39F23" w14:textId="77777777" w:rsidR="009D759D" w:rsidRPr="00DE0E9A" w:rsidRDefault="009D759D" w:rsidP="00DE0E9A">
      <w:pPr>
        <w:pStyle w:val="ListParagraph"/>
        <w:numPr>
          <w:ilvl w:val="2"/>
          <w:numId w:val="25"/>
        </w:numPr>
        <w:spacing w:after="0" w:line="257" w:lineRule="auto"/>
        <w:rPr>
          <w:rFonts w:ascii="Calibri" w:eastAsiaTheme="minorEastAsia" w:hAnsi="Calibri" w:cs="Calibri"/>
        </w:rPr>
      </w:pPr>
      <w:r w:rsidRPr="00DE0E9A">
        <w:rPr>
          <w:rFonts w:ascii="Calibri" w:eastAsiaTheme="minorEastAsia" w:hAnsi="Calibri" w:cs="Calibri"/>
        </w:rPr>
        <w:t>Between $1,001 and $100,000 – reviewed and approved by Chief Financial Officer</w:t>
      </w:r>
    </w:p>
    <w:p w14:paraId="308CFCD3" w14:textId="77777777" w:rsidR="009D759D" w:rsidRPr="00DE0E9A" w:rsidRDefault="009D759D" w:rsidP="00DE0E9A">
      <w:pPr>
        <w:pStyle w:val="ListParagraph"/>
        <w:numPr>
          <w:ilvl w:val="2"/>
          <w:numId w:val="25"/>
        </w:numPr>
        <w:spacing w:after="0" w:line="257" w:lineRule="auto"/>
        <w:rPr>
          <w:rFonts w:ascii="Calibri" w:eastAsiaTheme="minorEastAsia" w:hAnsi="Calibri" w:cs="Calibri"/>
        </w:rPr>
      </w:pPr>
      <w:r w:rsidRPr="00DE0E9A">
        <w:rPr>
          <w:rFonts w:ascii="Calibri" w:eastAsiaTheme="minorEastAsia" w:hAnsi="Calibri" w:cs="Calibri"/>
        </w:rPr>
        <w:t xml:space="preserve">$100,000 and up by University leadership, to include at the least joint approval of the CFO </w:t>
      </w:r>
      <w:r w:rsidRPr="00DE0E9A">
        <w:rPr>
          <w:rFonts w:ascii="Calibri" w:eastAsiaTheme="minorEastAsia" w:hAnsi="Calibri" w:cs="Calibri"/>
          <w:u w:val="single"/>
        </w:rPr>
        <w:t>and</w:t>
      </w:r>
      <w:r w:rsidRPr="00DE0E9A">
        <w:rPr>
          <w:rFonts w:ascii="Calibri" w:eastAsiaTheme="minorEastAsia" w:hAnsi="Calibri" w:cs="Calibri"/>
        </w:rPr>
        <w:t xml:space="preserve"> EVP &amp; Provost. Approval is sequential: By advancing the request to the EVP &amp; Provost the CFO is certifying her approval of the request. Either the CFO or EVP &amp; Provost may, at their individual or joint discretion, require approval of an expanded University Leadership group for any request that is projected to increase the all-funds operating deficit of NIU by $100,000 or more.</w:t>
      </w:r>
    </w:p>
    <w:p w14:paraId="2BCBEEEA" w14:textId="77777777" w:rsidR="009D759D" w:rsidRPr="00DE0E9A" w:rsidRDefault="009D759D" w:rsidP="00DE0E9A">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t>Posting -&gt; If approved, budget transfer processed by Budget Office Staff</w:t>
      </w:r>
    </w:p>
    <w:p w14:paraId="49994CB1" w14:textId="77777777" w:rsidR="009D759D" w:rsidRPr="00DE0E9A" w:rsidRDefault="009D759D" w:rsidP="00DE0E9A">
      <w:pPr>
        <w:pStyle w:val="ListParagraph"/>
        <w:numPr>
          <w:ilvl w:val="2"/>
          <w:numId w:val="25"/>
        </w:numPr>
        <w:spacing w:after="0" w:line="257" w:lineRule="auto"/>
        <w:rPr>
          <w:rFonts w:ascii="Calibri" w:eastAsiaTheme="minorEastAsia" w:hAnsi="Calibri" w:cs="Calibri"/>
        </w:rPr>
      </w:pPr>
      <w:r w:rsidRPr="00DE0E9A">
        <w:rPr>
          <w:rFonts w:ascii="Calibri" w:eastAsiaTheme="minorEastAsia" w:hAnsi="Calibri" w:cs="Calibri"/>
        </w:rPr>
        <w:t>If denied, Director of Budget Office to respond to Business Manager</w:t>
      </w:r>
    </w:p>
    <w:p w14:paraId="191FF94C" w14:textId="5CB7EE00" w:rsidR="009D759D" w:rsidRPr="00DE0E9A" w:rsidRDefault="009D759D" w:rsidP="003931F6">
      <w:pPr>
        <w:pStyle w:val="Heading2"/>
        <w:numPr>
          <w:ilvl w:val="0"/>
          <w:numId w:val="25"/>
        </w:numPr>
        <w:rPr>
          <w:rFonts w:eastAsiaTheme="minorEastAsia"/>
        </w:rPr>
      </w:pPr>
      <w:r w:rsidRPr="00DE0E9A">
        <w:rPr>
          <w:rFonts w:eastAsiaTheme="minorEastAsia"/>
        </w:rPr>
        <w:t>Timing Considerations</w:t>
      </w:r>
    </w:p>
    <w:p w14:paraId="7AAB87A9" w14:textId="77777777" w:rsidR="009D759D" w:rsidRPr="00DE0E9A" w:rsidRDefault="009D759D" w:rsidP="00DE0E9A">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t>Requests requiring reviews and approvals (at least):</w:t>
      </w:r>
    </w:p>
    <w:p w14:paraId="2180614C" w14:textId="77777777" w:rsidR="009D759D" w:rsidRPr="00DE0E9A" w:rsidRDefault="009D759D" w:rsidP="00DE0E9A">
      <w:pPr>
        <w:pStyle w:val="ListParagraph"/>
        <w:numPr>
          <w:ilvl w:val="2"/>
          <w:numId w:val="25"/>
        </w:numPr>
        <w:spacing w:after="0" w:line="257" w:lineRule="auto"/>
        <w:rPr>
          <w:rFonts w:ascii="Calibri" w:eastAsiaTheme="minorEastAsia" w:hAnsi="Calibri" w:cs="Calibri"/>
        </w:rPr>
      </w:pPr>
      <w:r w:rsidRPr="00DE0E9A">
        <w:rPr>
          <w:rFonts w:ascii="Calibri" w:eastAsiaTheme="minorEastAsia" w:hAnsi="Calibri" w:cs="Calibri"/>
        </w:rPr>
        <w:t>Budget Office = Weekly</w:t>
      </w:r>
    </w:p>
    <w:p w14:paraId="552160AC" w14:textId="77777777" w:rsidR="009D759D" w:rsidRPr="00DE0E9A" w:rsidRDefault="009D759D" w:rsidP="00DE0E9A">
      <w:pPr>
        <w:pStyle w:val="ListParagraph"/>
        <w:numPr>
          <w:ilvl w:val="2"/>
          <w:numId w:val="25"/>
        </w:numPr>
        <w:spacing w:after="0" w:line="257" w:lineRule="auto"/>
        <w:rPr>
          <w:rFonts w:ascii="Calibri" w:eastAsiaTheme="minorEastAsia" w:hAnsi="Calibri" w:cs="Calibri"/>
        </w:rPr>
      </w:pPr>
      <w:r w:rsidRPr="00DE0E9A">
        <w:rPr>
          <w:rFonts w:ascii="Calibri" w:eastAsiaTheme="minorEastAsia" w:hAnsi="Calibri" w:cs="Calibri"/>
        </w:rPr>
        <w:t>Chief Financial Officer = Monthly</w:t>
      </w:r>
    </w:p>
    <w:p w14:paraId="7C868BEF" w14:textId="77777777" w:rsidR="009D759D" w:rsidRPr="00DE0E9A" w:rsidRDefault="009D759D" w:rsidP="00DE0E9A">
      <w:pPr>
        <w:pStyle w:val="ListParagraph"/>
        <w:numPr>
          <w:ilvl w:val="2"/>
          <w:numId w:val="25"/>
        </w:numPr>
        <w:spacing w:after="0" w:line="257" w:lineRule="auto"/>
        <w:rPr>
          <w:rFonts w:ascii="Calibri" w:eastAsiaTheme="minorEastAsia" w:hAnsi="Calibri" w:cs="Calibri"/>
        </w:rPr>
      </w:pPr>
      <w:r w:rsidRPr="00DE0E9A">
        <w:rPr>
          <w:rFonts w:ascii="Calibri" w:eastAsiaTheme="minorEastAsia" w:hAnsi="Calibri" w:cs="Calibri"/>
        </w:rPr>
        <w:t>EVP &amp; Provost = Monthly</w:t>
      </w:r>
    </w:p>
    <w:p w14:paraId="50B34DC7" w14:textId="77777777" w:rsidR="009D759D" w:rsidRPr="00DE0E9A" w:rsidRDefault="009D759D" w:rsidP="00DE0E9A">
      <w:pPr>
        <w:pStyle w:val="ListParagraph"/>
        <w:numPr>
          <w:ilvl w:val="2"/>
          <w:numId w:val="25"/>
        </w:numPr>
        <w:spacing w:after="0" w:line="257" w:lineRule="auto"/>
        <w:rPr>
          <w:rFonts w:ascii="Calibri" w:eastAsiaTheme="minorEastAsia" w:hAnsi="Calibri" w:cs="Calibri"/>
        </w:rPr>
      </w:pPr>
      <w:r w:rsidRPr="00DE0E9A">
        <w:rPr>
          <w:rFonts w:ascii="Calibri" w:eastAsiaTheme="minorEastAsia" w:hAnsi="Calibri" w:cs="Calibri"/>
        </w:rPr>
        <w:t>Expanded University Leadership review: Every-other-Month</w:t>
      </w:r>
    </w:p>
    <w:p w14:paraId="09BBB22C" w14:textId="4CDB268B" w:rsidR="009D759D" w:rsidRPr="00DE0E9A" w:rsidRDefault="009D759D" w:rsidP="003931F6">
      <w:pPr>
        <w:pStyle w:val="Heading2"/>
        <w:numPr>
          <w:ilvl w:val="0"/>
          <w:numId w:val="25"/>
        </w:numPr>
        <w:rPr>
          <w:rFonts w:eastAsiaTheme="minorEastAsia"/>
        </w:rPr>
      </w:pPr>
      <w:r w:rsidRPr="00DE0E9A">
        <w:rPr>
          <w:rFonts w:eastAsiaTheme="minorEastAsia"/>
        </w:rPr>
        <w:t>Reasons for Denial (examples only—not an exhaustive list):</w:t>
      </w:r>
    </w:p>
    <w:p w14:paraId="00AF0486" w14:textId="77777777" w:rsidR="009D759D" w:rsidRPr="00DE0E9A" w:rsidRDefault="009D759D" w:rsidP="00DE0E9A">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t>Incomplete request/insufficient documentation/faulty scope</w:t>
      </w:r>
    </w:p>
    <w:p w14:paraId="554D478B" w14:textId="77777777" w:rsidR="009D759D" w:rsidRPr="00DE0E9A" w:rsidRDefault="009D759D" w:rsidP="00DE0E9A">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t>Insufficient budget to cover transaction (denial at desktop level budget checking)</w:t>
      </w:r>
    </w:p>
    <w:p w14:paraId="10BE888D" w14:textId="77777777" w:rsidR="009D759D" w:rsidRPr="00DE0E9A" w:rsidRDefault="009D759D" w:rsidP="00DE0E9A">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t>Central not able to fund initiative (denial via workflow)</w:t>
      </w:r>
    </w:p>
    <w:p w14:paraId="78893B1F" w14:textId="77777777" w:rsidR="009D759D" w:rsidRPr="00DE0E9A" w:rsidRDefault="009D759D" w:rsidP="00DE0E9A">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t>Not mission critical (denial of expansions or spend-downs)</w:t>
      </w:r>
    </w:p>
    <w:p w14:paraId="43AE136A" w14:textId="77777777" w:rsidR="009D759D" w:rsidRPr="00DE0E9A" w:rsidRDefault="009D759D" w:rsidP="00DE0E9A">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t>Too Immaterial / Fund Locally</w:t>
      </w:r>
    </w:p>
    <w:p w14:paraId="082BACCB" w14:textId="3A7E0C6F" w:rsidR="009D759D" w:rsidRPr="00DE0E9A" w:rsidRDefault="009D759D" w:rsidP="003931F6">
      <w:pPr>
        <w:pStyle w:val="Heading2"/>
        <w:numPr>
          <w:ilvl w:val="0"/>
          <w:numId w:val="25"/>
        </w:numPr>
        <w:rPr>
          <w:rFonts w:eastAsiaTheme="minorEastAsia"/>
        </w:rPr>
      </w:pPr>
      <w:r w:rsidRPr="00DE0E9A">
        <w:rPr>
          <w:rFonts w:eastAsiaTheme="minorEastAsia"/>
        </w:rPr>
        <w:t>Some questions to assist in justification (see Process as listed on page 2)</w:t>
      </w:r>
    </w:p>
    <w:p w14:paraId="0E908EB6" w14:textId="77777777" w:rsidR="009D759D" w:rsidRPr="00DE0E9A" w:rsidRDefault="009D759D" w:rsidP="00DE0E9A">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t>Budget Leadership Reporting or Financial Summary Report (FSR) backup (most current) – showing the funds are available</w:t>
      </w:r>
    </w:p>
    <w:p w14:paraId="5ABFA0FA" w14:textId="77777777" w:rsidR="009D759D" w:rsidRPr="00DE0E9A" w:rsidRDefault="009D759D" w:rsidP="00DE0E9A">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t>Is this a Balanced or Unbalanced budget request? (see types previously)</w:t>
      </w:r>
    </w:p>
    <w:p w14:paraId="048F6DE4" w14:textId="77777777" w:rsidR="009D759D" w:rsidRPr="00DE0E9A" w:rsidRDefault="009D759D" w:rsidP="00DE0E9A">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t>How does this affect the Division or Department?</w:t>
      </w:r>
    </w:p>
    <w:p w14:paraId="0D7779DB" w14:textId="77777777" w:rsidR="009D759D" w:rsidRPr="00DE0E9A" w:rsidRDefault="009D759D" w:rsidP="00DE0E9A">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t>What mission critical need is this solving? How does the request support the Strategic Action Framework?</w:t>
      </w:r>
    </w:p>
    <w:p w14:paraId="3B8A789C" w14:textId="77777777" w:rsidR="009D759D" w:rsidRPr="00DE0E9A" w:rsidRDefault="009D759D" w:rsidP="00DE0E9A">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t>What is the benefit of the budget request?</w:t>
      </w:r>
    </w:p>
    <w:p w14:paraId="4A41DF66" w14:textId="77777777" w:rsidR="009D759D" w:rsidRPr="00DE0E9A" w:rsidRDefault="009D759D" w:rsidP="00DE0E9A">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t>Why is the budget request needed? Have alternative funding options been considered?</w:t>
      </w:r>
    </w:p>
    <w:p w14:paraId="4F1D533F" w14:textId="18145C06" w:rsidR="00E33207" w:rsidRPr="00B72132" w:rsidRDefault="009D759D" w:rsidP="00E33207">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t xml:space="preserve">Provide </w:t>
      </w:r>
      <w:proofErr w:type="gramStart"/>
      <w:r w:rsidRPr="00DE0E9A">
        <w:rPr>
          <w:rFonts w:ascii="Calibri" w:eastAsiaTheme="minorEastAsia" w:hAnsi="Calibri" w:cs="Calibri"/>
        </w:rPr>
        <w:t>any and all</w:t>
      </w:r>
      <w:proofErr w:type="gramEnd"/>
      <w:r w:rsidRPr="00DE0E9A">
        <w:rPr>
          <w:rFonts w:ascii="Calibri" w:eastAsiaTheme="minorEastAsia" w:hAnsi="Calibri" w:cs="Calibri"/>
        </w:rPr>
        <w:t xml:space="preserve"> documentation that will help support the justification dialogue</w:t>
      </w:r>
    </w:p>
    <w:sectPr w:rsidR="00E33207" w:rsidRPr="00B72132" w:rsidSect="008E4E19">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89F5F" w14:textId="77777777" w:rsidR="009B7C8B" w:rsidRDefault="009B7C8B" w:rsidP="005A3EEC">
      <w:pPr>
        <w:spacing w:after="0" w:line="240" w:lineRule="auto"/>
      </w:pPr>
      <w:r>
        <w:separator/>
      </w:r>
    </w:p>
  </w:endnote>
  <w:endnote w:type="continuationSeparator" w:id="0">
    <w:p w14:paraId="5BA84353" w14:textId="77777777" w:rsidR="009B7C8B" w:rsidRDefault="009B7C8B" w:rsidP="005A3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438195"/>
      <w:docPartObj>
        <w:docPartGallery w:val="Page Numbers (Bottom of Page)"/>
        <w:docPartUnique/>
      </w:docPartObj>
    </w:sdtPr>
    <w:sdtEndPr>
      <w:rPr>
        <w:noProof/>
      </w:rPr>
    </w:sdtEndPr>
    <w:sdtContent>
      <w:p w14:paraId="6F96CD13" w14:textId="2C14123C" w:rsidR="008E4E19" w:rsidRDefault="008E4E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3056C3" w14:textId="77777777" w:rsidR="008E4E19" w:rsidRDefault="008E4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51E8D" w14:textId="77777777" w:rsidR="009B7C8B" w:rsidRDefault="009B7C8B" w:rsidP="005A3EEC">
      <w:pPr>
        <w:spacing w:after="0" w:line="240" w:lineRule="auto"/>
      </w:pPr>
      <w:r>
        <w:separator/>
      </w:r>
    </w:p>
  </w:footnote>
  <w:footnote w:type="continuationSeparator" w:id="0">
    <w:p w14:paraId="795CF584" w14:textId="77777777" w:rsidR="009B7C8B" w:rsidRDefault="009B7C8B" w:rsidP="005A3E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27DCF"/>
    <w:multiLevelType w:val="hybridMultilevel"/>
    <w:tmpl w:val="7DD28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D56C3"/>
    <w:multiLevelType w:val="hybridMultilevel"/>
    <w:tmpl w:val="6D96998E"/>
    <w:lvl w:ilvl="0" w:tplc="8C60D022">
      <w:start w:val="1"/>
      <w:numFmt w:val="decimal"/>
      <w:lvlText w:val="%1."/>
      <w:lvlJc w:val="left"/>
      <w:pPr>
        <w:ind w:left="720" w:hanging="360"/>
      </w:pPr>
    </w:lvl>
    <w:lvl w:ilvl="1" w:tplc="4E64C64A">
      <w:start w:val="1"/>
      <w:numFmt w:val="lowerLetter"/>
      <w:lvlText w:val="%2."/>
      <w:lvlJc w:val="left"/>
      <w:pPr>
        <w:ind w:left="1440" w:hanging="360"/>
      </w:pPr>
    </w:lvl>
    <w:lvl w:ilvl="2" w:tplc="80D27A06">
      <w:start w:val="1"/>
      <w:numFmt w:val="lowerRoman"/>
      <w:lvlText w:val="%3."/>
      <w:lvlJc w:val="right"/>
      <w:pPr>
        <w:ind w:left="2160" w:hanging="180"/>
      </w:pPr>
    </w:lvl>
    <w:lvl w:ilvl="3" w:tplc="A6FEE8DE">
      <w:start w:val="1"/>
      <w:numFmt w:val="decimal"/>
      <w:lvlText w:val="%4."/>
      <w:lvlJc w:val="left"/>
      <w:pPr>
        <w:ind w:left="2880" w:hanging="360"/>
      </w:pPr>
    </w:lvl>
    <w:lvl w:ilvl="4" w:tplc="0C9034D6">
      <w:start w:val="1"/>
      <w:numFmt w:val="lowerLetter"/>
      <w:lvlText w:val="%5."/>
      <w:lvlJc w:val="left"/>
      <w:pPr>
        <w:ind w:left="3600" w:hanging="360"/>
      </w:pPr>
    </w:lvl>
    <w:lvl w:ilvl="5" w:tplc="7F125C70">
      <w:start w:val="1"/>
      <w:numFmt w:val="lowerRoman"/>
      <w:lvlText w:val="%6."/>
      <w:lvlJc w:val="right"/>
      <w:pPr>
        <w:ind w:left="4320" w:hanging="180"/>
      </w:pPr>
    </w:lvl>
    <w:lvl w:ilvl="6" w:tplc="AF3ACD00">
      <w:start w:val="1"/>
      <w:numFmt w:val="decimal"/>
      <w:lvlText w:val="%7."/>
      <w:lvlJc w:val="left"/>
      <w:pPr>
        <w:ind w:left="5040" w:hanging="360"/>
      </w:pPr>
    </w:lvl>
    <w:lvl w:ilvl="7" w:tplc="F4920B84">
      <w:start w:val="1"/>
      <w:numFmt w:val="lowerLetter"/>
      <w:lvlText w:val="%8."/>
      <w:lvlJc w:val="left"/>
      <w:pPr>
        <w:ind w:left="5760" w:hanging="360"/>
      </w:pPr>
    </w:lvl>
    <w:lvl w:ilvl="8" w:tplc="40847BDE">
      <w:start w:val="1"/>
      <w:numFmt w:val="lowerRoman"/>
      <w:lvlText w:val="%9."/>
      <w:lvlJc w:val="right"/>
      <w:pPr>
        <w:ind w:left="6480" w:hanging="180"/>
      </w:pPr>
    </w:lvl>
  </w:abstractNum>
  <w:abstractNum w:abstractNumId="2" w15:restartNumberingAfterBreak="0">
    <w:nsid w:val="0CEA1C32"/>
    <w:multiLevelType w:val="hybridMultilevel"/>
    <w:tmpl w:val="9F6A3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E2E0A"/>
    <w:multiLevelType w:val="hybridMultilevel"/>
    <w:tmpl w:val="E5A8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460DA"/>
    <w:multiLevelType w:val="hybridMultilevel"/>
    <w:tmpl w:val="9A44A70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D77A8"/>
    <w:multiLevelType w:val="hybridMultilevel"/>
    <w:tmpl w:val="6A245820"/>
    <w:lvl w:ilvl="0" w:tplc="27BCD5C0">
      <w:start w:val="1"/>
      <w:numFmt w:val="decimal"/>
      <w:lvlText w:val="%1."/>
      <w:lvlJc w:val="left"/>
      <w:pPr>
        <w:ind w:left="720" w:hanging="360"/>
      </w:pPr>
    </w:lvl>
    <w:lvl w:ilvl="1" w:tplc="BABC3268">
      <w:start w:val="1"/>
      <w:numFmt w:val="lowerLetter"/>
      <w:lvlText w:val="%2."/>
      <w:lvlJc w:val="left"/>
      <w:pPr>
        <w:ind w:left="1440" w:hanging="360"/>
      </w:pPr>
    </w:lvl>
    <w:lvl w:ilvl="2" w:tplc="0D746CB0">
      <w:start w:val="1"/>
      <w:numFmt w:val="lowerRoman"/>
      <w:lvlText w:val="%3."/>
      <w:lvlJc w:val="right"/>
      <w:pPr>
        <w:ind w:left="2160" w:hanging="180"/>
      </w:pPr>
    </w:lvl>
    <w:lvl w:ilvl="3" w:tplc="0ED8B034">
      <w:start w:val="1"/>
      <w:numFmt w:val="decimal"/>
      <w:lvlText w:val="%4."/>
      <w:lvlJc w:val="left"/>
      <w:pPr>
        <w:ind w:left="2880" w:hanging="360"/>
      </w:pPr>
    </w:lvl>
    <w:lvl w:ilvl="4" w:tplc="3912C7BC">
      <w:start w:val="1"/>
      <w:numFmt w:val="lowerLetter"/>
      <w:lvlText w:val="%5."/>
      <w:lvlJc w:val="left"/>
      <w:pPr>
        <w:ind w:left="3600" w:hanging="360"/>
      </w:pPr>
    </w:lvl>
    <w:lvl w:ilvl="5" w:tplc="0DEA28AE">
      <w:start w:val="1"/>
      <w:numFmt w:val="lowerRoman"/>
      <w:lvlText w:val="%6."/>
      <w:lvlJc w:val="right"/>
      <w:pPr>
        <w:ind w:left="4320" w:hanging="180"/>
      </w:pPr>
    </w:lvl>
    <w:lvl w:ilvl="6" w:tplc="27EC10FC">
      <w:start w:val="1"/>
      <w:numFmt w:val="decimal"/>
      <w:lvlText w:val="%7."/>
      <w:lvlJc w:val="left"/>
      <w:pPr>
        <w:ind w:left="5040" w:hanging="360"/>
      </w:pPr>
    </w:lvl>
    <w:lvl w:ilvl="7" w:tplc="F072D3AE">
      <w:start w:val="1"/>
      <w:numFmt w:val="lowerLetter"/>
      <w:lvlText w:val="%8."/>
      <w:lvlJc w:val="left"/>
      <w:pPr>
        <w:ind w:left="5760" w:hanging="360"/>
      </w:pPr>
    </w:lvl>
    <w:lvl w:ilvl="8" w:tplc="4D46DF86">
      <w:start w:val="1"/>
      <w:numFmt w:val="lowerRoman"/>
      <w:lvlText w:val="%9."/>
      <w:lvlJc w:val="right"/>
      <w:pPr>
        <w:ind w:left="6480" w:hanging="180"/>
      </w:pPr>
    </w:lvl>
  </w:abstractNum>
  <w:abstractNum w:abstractNumId="6" w15:restartNumberingAfterBreak="0">
    <w:nsid w:val="28295CDB"/>
    <w:multiLevelType w:val="hybridMultilevel"/>
    <w:tmpl w:val="1F2AEB9A"/>
    <w:lvl w:ilvl="0" w:tplc="1FCC3C76">
      <w:start w:val="1"/>
      <w:numFmt w:val="decimal"/>
      <w:lvlText w:val="%1."/>
      <w:lvlJc w:val="left"/>
      <w:pPr>
        <w:ind w:left="720" w:hanging="360"/>
      </w:pPr>
    </w:lvl>
    <w:lvl w:ilvl="1" w:tplc="F432C5A8">
      <w:start w:val="1"/>
      <w:numFmt w:val="lowerLetter"/>
      <w:lvlText w:val="%2."/>
      <w:lvlJc w:val="left"/>
      <w:pPr>
        <w:ind w:left="1440" w:hanging="360"/>
      </w:pPr>
    </w:lvl>
    <w:lvl w:ilvl="2" w:tplc="6DE6A596">
      <w:start w:val="1"/>
      <w:numFmt w:val="lowerRoman"/>
      <w:lvlText w:val="%3."/>
      <w:lvlJc w:val="right"/>
      <w:pPr>
        <w:ind w:left="2160" w:hanging="180"/>
      </w:pPr>
    </w:lvl>
    <w:lvl w:ilvl="3" w:tplc="0A42E75C">
      <w:start w:val="1"/>
      <w:numFmt w:val="decimal"/>
      <w:lvlText w:val="%4."/>
      <w:lvlJc w:val="left"/>
      <w:pPr>
        <w:ind w:left="2880" w:hanging="360"/>
      </w:pPr>
    </w:lvl>
    <w:lvl w:ilvl="4" w:tplc="5C0EEE92">
      <w:start w:val="1"/>
      <w:numFmt w:val="lowerLetter"/>
      <w:lvlText w:val="%5."/>
      <w:lvlJc w:val="left"/>
      <w:pPr>
        <w:ind w:left="3600" w:hanging="360"/>
      </w:pPr>
    </w:lvl>
    <w:lvl w:ilvl="5" w:tplc="DD2C7278">
      <w:start w:val="1"/>
      <w:numFmt w:val="lowerRoman"/>
      <w:lvlText w:val="%6."/>
      <w:lvlJc w:val="right"/>
      <w:pPr>
        <w:ind w:left="4320" w:hanging="180"/>
      </w:pPr>
    </w:lvl>
    <w:lvl w:ilvl="6" w:tplc="0232885A">
      <w:start w:val="1"/>
      <w:numFmt w:val="decimal"/>
      <w:lvlText w:val="%7."/>
      <w:lvlJc w:val="left"/>
      <w:pPr>
        <w:ind w:left="5040" w:hanging="360"/>
      </w:pPr>
    </w:lvl>
    <w:lvl w:ilvl="7" w:tplc="8B5E2030">
      <w:start w:val="1"/>
      <w:numFmt w:val="lowerLetter"/>
      <w:lvlText w:val="%8."/>
      <w:lvlJc w:val="left"/>
      <w:pPr>
        <w:ind w:left="5760" w:hanging="360"/>
      </w:pPr>
    </w:lvl>
    <w:lvl w:ilvl="8" w:tplc="118C66E8">
      <w:start w:val="1"/>
      <w:numFmt w:val="lowerRoman"/>
      <w:lvlText w:val="%9."/>
      <w:lvlJc w:val="right"/>
      <w:pPr>
        <w:ind w:left="6480" w:hanging="180"/>
      </w:pPr>
    </w:lvl>
  </w:abstractNum>
  <w:abstractNum w:abstractNumId="7" w15:restartNumberingAfterBreak="0">
    <w:nsid w:val="2E204465"/>
    <w:multiLevelType w:val="hybridMultilevel"/>
    <w:tmpl w:val="1E8C593A"/>
    <w:lvl w:ilvl="0" w:tplc="739A4890">
      <w:start w:val="1"/>
      <w:numFmt w:val="decimal"/>
      <w:lvlText w:val="%1."/>
      <w:lvlJc w:val="left"/>
      <w:pPr>
        <w:ind w:left="720" w:hanging="360"/>
      </w:pPr>
    </w:lvl>
    <w:lvl w:ilvl="1" w:tplc="099A9BF8">
      <w:start w:val="1"/>
      <w:numFmt w:val="lowerLetter"/>
      <w:lvlText w:val="%2."/>
      <w:lvlJc w:val="left"/>
      <w:pPr>
        <w:ind w:left="1440" w:hanging="360"/>
      </w:pPr>
    </w:lvl>
    <w:lvl w:ilvl="2" w:tplc="0AB891E4">
      <w:start w:val="1"/>
      <w:numFmt w:val="lowerRoman"/>
      <w:lvlText w:val="%3."/>
      <w:lvlJc w:val="right"/>
      <w:pPr>
        <w:ind w:left="2160" w:hanging="180"/>
      </w:pPr>
    </w:lvl>
    <w:lvl w:ilvl="3" w:tplc="608437B0">
      <w:start w:val="1"/>
      <w:numFmt w:val="decimal"/>
      <w:lvlText w:val="%4."/>
      <w:lvlJc w:val="left"/>
      <w:pPr>
        <w:ind w:left="2880" w:hanging="360"/>
      </w:pPr>
    </w:lvl>
    <w:lvl w:ilvl="4" w:tplc="A24CCA6C">
      <w:start w:val="1"/>
      <w:numFmt w:val="lowerLetter"/>
      <w:lvlText w:val="%5."/>
      <w:lvlJc w:val="left"/>
      <w:pPr>
        <w:ind w:left="3600" w:hanging="360"/>
      </w:pPr>
    </w:lvl>
    <w:lvl w:ilvl="5" w:tplc="05C0EA84">
      <w:start w:val="1"/>
      <w:numFmt w:val="lowerRoman"/>
      <w:lvlText w:val="%6."/>
      <w:lvlJc w:val="right"/>
      <w:pPr>
        <w:ind w:left="4320" w:hanging="180"/>
      </w:pPr>
    </w:lvl>
    <w:lvl w:ilvl="6" w:tplc="7A546BF2">
      <w:start w:val="1"/>
      <w:numFmt w:val="decimal"/>
      <w:lvlText w:val="%7."/>
      <w:lvlJc w:val="left"/>
      <w:pPr>
        <w:ind w:left="5040" w:hanging="360"/>
      </w:pPr>
    </w:lvl>
    <w:lvl w:ilvl="7" w:tplc="954AD5F4">
      <w:start w:val="1"/>
      <w:numFmt w:val="lowerLetter"/>
      <w:lvlText w:val="%8."/>
      <w:lvlJc w:val="left"/>
      <w:pPr>
        <w:ind w:left="5760" w:hanging="360"/>
      </w:pPr>
    </w:lvl>
    <w:lvl w:ilvl="8" w:tplc="68924762">
      <w:start w:val="1"/>
      <w:numFmt w:val="lowerRoman"/>
      <w:lvlText w:val="%9."/>
      <w:lvlJc w:val="right"/>
      <w:pPr>
        <w:ind w:left="6480" w:hanging="180"/>
      </w:pPr>
    </w:lvl>
  </w:abstractNum>
  <w:abstractNum w:abstractNumId="8" w15:restartNumberingAfterBreak="0">
    <w:nsid w:val="418973F2"/>
    <w:multiLevelType w:val="hybridMultilevel"/>
    <w:tmpl w:val="B8FC39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38102E"/>
    <w:multiLevelType w:val="hybridMultilevel"/>
    <w:tmpl w:val="D9565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954782"/>
    <w:multiLevelType w:val="hybridMultilevel"/>
    <w:tmpl w:val="1D9AF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7350E2"/>
    <w:multiLevelType w:val="hybridMultilevel"/>
    <w:tmpl w:val="7BA876EA"/>
    <w:lvl w:ilvl="0" w:tplc="58CE3BC2">
      <w:start w:val="1"/>
      <w:numFmt w:val="decimal"/>
      <w:lvlText w:val="%1."/>
      <w:lvlJc w:val="left"/>
      <w:pPr>
        <w:ind w:left="720" w:hanging="360"/>
      </w:pPr>
    </w:lvl>
    <w:lvl w:ilvl="1" w:tplc="F2EAAEC6">
      <w:start w:val="1"/>
      <w:numFmt w:val="lowerLetter"/>
      <w:lvlText w:val="%2."/>
      <w:lvlJc w:val="left"/>
      <w:pPr>
        <w:ind w:left="1440" w:hanging="360"/>
      </w:pPr>
    </w:lvl>
    <w:lvl w:ilvl="2" w:tplc="4FC47FE6">
      <w:start w:val="1"/>
      <w:numFmt w:val="lowerRoman"/>
      <w:lvlText w:val="%3."/>
      <w:lvlJc w:val="right"/>
      <w:pPr>
        <w:ind w:left="2160" w:hanging="180"/>
      </w:pPr>
    </w:lvl>
    <w:lvl w:ilvl="3" w:tplc="FF922D32">
      <w:start w:val="1"/>
      <w:numFmt w:val="decimal"/>
      <w:lvlText w:val="%4."/>
      <w:lvlJc w:val="left"/>
      <w:pPr>
        <w:ind w:left="2880" w:hanging="360"/>
      </w:pPr>
    </w:lvl>
    <w:lvl w:ilvl="4" w:tplc="40E03508">
      <w:start w:val="1"/>
      <w:numFmt w:val="lowerLetter"/>
      <w:lvlText w:val="%5."/>
      <w:lvlJc w:val="left"/>
      <w:pPr>
        <w:ind w:left="3600" w:hanging="360"/>
      </w:pPr>
    </w:lvl>
    <w:lvl w:ilvl="5" w:tplc="DCDCA546">
      <w:start w:val="1"/>
      <w:numFmt w:val="lowerRoman"/>
      <w:lvlText w:val="%6."/>
      <w:lvlJc w:val="right"/>
      <w:pPr>
        <w:ind w:left="4320" w:hanging="180"/>
      </w:pPr>
    </w:lvl>
    <w:lvl w:ilvl="6" w:tplc="DC48667A">
      <w:start w:val="1"/>
      <w:numFmt w:val="decimal"/>
      <w:lvlText w:val="%7."/>
      <w:lvlJc w:val="left"/>
      <w:pPr>
        <w:ind w:left="5040" w:hanging="360"/>
      </w:pPr>
    </w:lvl>
    <w:lvl w:ilvl="7" w:tplc="BF1E6E7A">
      <w:start w:val="1"/>
      <w:numFmt w:val="lowerLetter"/>
      <w:lvlText w:val="%8."/>
      <w:lvlJc w:val="left"/>
      <w:pPr>
        <w:ind w:left="5760" w:hanging="360"/>
      </w:pPr>
    </w:lvl>
    <w:lvl w:ilvl="8" w:tplc="A8E26A1C">
      <w:start w:val="1"/>
      <w:numFmt w:val="lowerRoman"/>
      <w:lvlText w:val="%9."/>
      <w:lvlJc w:val="right"/>
      <w:pPr>
        <w:ind w:left="6480" w:hanging="180"/>
      </w:pPr>
    </w:lvl>
  </w:abstractNum>
  <w:abstractNum w:abstractNumId="12" w15:restartNumberingAfterBreak="0">
    <w:nsid w:val="4DB448C1"/>
    <w:multiLevelType w:val="hybridMultilevel"/>
    <w:tmpl w:val="8AD47B02"/>
    <w:lvl w:ilvl="0" w:tplc="56C2B816">
      <w:start w:val="1"/>
      <w:numFmt w:val="decimal"/>
      <w:lvlText w:val="%1."/>
      <w:lvlJc w:val="left"/>
      <w:pPr>
        <w:ind w:left="720" w:hanging="360"/>
      </w:pPr>
    </w:lvl>
    <w:lvl w:ilvl="1" w:tplc="91447C78">
      <w:start w:val="1"/>
      <w:numFmt w:val="lowerLetter"/>
      <w:lvlText w:val="%2."/>
      <w:lvlJc w:val="left"/>
      <w:pPr>
        <w:ind w:left="1440" w:hanging="360"/>
      </w:pPr>
    </w:lvl>
    <w:lvl w:ilvl="2" w:tplc="8CAADC92">
      <w:start w:val="1"/>
      <w:numFmt w:val="lowerRoman"/>
      <w:lvlText w:val="%3."/>
      <w:lvlJc w:val="right"/>
      <w:pPr>
        <w:ind w:left="2160" w:hanging="180"/>
      </w:pPr>
    </w:lvl>
    <w:lvl w:ilvl="3" w:tplc="4AFC1DF0">
      <w:start w:val="1"/>
      <w:numFmt w:val="decimal"/>
      <w:lvlText w:val="%4."/>
      <w:lvlJc w:val="left"/>
      <w:pPr>
        <w:ind w:left="2880" w:hanging="360"/>
      </w:pPr>
    </w:lvl>
    <w:lvl w:ilvl="4" w:tplc="BF6ACF04">
      <w:start w:val="1"/>
      <w:numFmt w:val="lowerLetter"/>
      <w:lvlText w:val="%5."/>
      <w:lvlJc w:val="left"/>
      <w:pPr>
        <w:ind w:left="3600" w:hanging="360"/>
      </w:pPr>
    </w:lvl>
    <w:lvl w:ilvl="5" w:tplc="5AB4007A">
      <w:start w:val="1"/>
      <w:numFmt w:val="lowerRoman"/>
      <w:lvlText w:val="%6."/>
      <w:lvlJc w:val="right"/>
      <w:pPr>
        <w:ind w:left="4320" w:hanging="180"/>
      </w:pPr>
    </w:lvl>
    <w:lvl w:ilvl="6" w:tplc="AF2E1E78">
      <w:start w:val="1"/>
      <w:numFmt w:val="decimal"/>
      <w:lvlText w:val="%7."/>
      <w:lvlJc w:val="left"/>
      <w:pPr>
        <w:ind w:left="5040" w:hanging="360"/>
      </w:pPr>
    </w:lvl>
    <w:lvl w:ilvl="7" w:tplc="65B2E53A">
      <w:start w:val="1"/>
      <w:numFmt w:val="lowerLetter"/>
      <w:lvlText w:val="%8."/>
      <w:lvlJc w:val="left"/>
      <w:pPr>
        <w:ind w:left="5760" w:hanging="360"/>
      </w:pPr>
    </w:lvl>
    <w:lvl w:ilvl="8" w:tplc="6A1C15BA">
      <w:start w:val="1"/>
      <w:numFmt w:val="lowerRoman"/>
      <w:lvlText w:val="%9."/>
      <w:lvlJc w:val="right"/>
      <w:pPr>
        <w:ind w:left="6480" w:hanging="180"/>
      </w:pPr>
    </w:lvl>
  </w:abstractNum>
  <w:abstractNum w:abstractNumId="13" w15:restartNumberingAfterBreak="0">
    <w:nsid w:val="4EFF568D"/>
    <w:multiLevelType w:val="hybridMultilevel"/>
    <w:tmpl w:val="431AB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093987"/>
    <w:multiLevelType w:val="hybridMultilevel"/>
    <w:tmpl w:val="48322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9374B6"/>
    <w:multiLevelType w:val="hybridMultilevel"/>
    <w:tmpl w:val="91F27704"/>
    <w:lvl w:ilvl="0" w:tplc="730028EC">
      <w:start w:val="1"/>
      <w:numFmt w:val="bullet"/>
      <w:lvlText w:val="·"/>
      <w:lvlJc w:val="left"/>
      <w:pPr>
        <w:ind w:left="720" w:hanging="360"/>
      </w:pPr>
      <w:rPr>
        <w:rFonts w:ascii="Symbol" w:hAnsi="Symbol" w:hint="default"/>
      </w:rPr>
    </w:lvl>
    <w:lvl w:ilvl="1" w:tplc="6276D870">
      <w:start w:val="1"/>
      <w:numFmt w:val="bullet"/>
      <w:lvlText w:val="o"/>
      <w:lvlJc w:val="left"/>
      <w:pPr>
        <w:ind w:left="1440" w:hanging="360"/>
      </w:pPr>
      <w:rPr>
        <w:rFonts w:ascii="&quot;Courier New&quot;" w:hAnsi="&quot;Courier New&quot;" w:hint="default"/>
      </w:rPr>
    </w:lvl>
    <w:lvl w:ilvl="2" w:tplc="E822E074">
      <w:start w:val="1"/>
      <w:numFmt w:val="bullet"/>
      <w:lvlText w:val="§"/>
      <w:lvlJc w:val="left"/>
      <w:pPr>
        <w:ind w:left="2160" w:hanging="360"/>
      </w:pPr>
      <w:rPr>
        <w:rFonts w:ascii="Wingdings" w:hAnsi="Wingdings" w:hint="default"/>
      </w:rPr>
    </w:lvl>
    <w:lvl w:ilvl="3" w:tplc="84E853BC">
      <w:start w:val="1"/>
      <w:numFmt w:val="bullet"/>
      <w:lvlText w:val=""/>
      <w:lvlJc w:val="left"/>
      <w:pPr>
        <w:ind w:left="2880" w:hanging="360"/>
      </w:pPr>
      <w:rPr>
        <w:rFonts w:ascii="Symbol" w:hAnsi="Symbol" w:hint="default"/>
      </w:rPr>
    </w:lvl>
    <w:lvl w:ilvl="4" w:tplc="C5CE129E">
      <w:start w:val="1"/>
      <w:numFmt w:val="bullet"/>
      <w:lvlText w:val="o"/>
      <w:lvlJc w:val="left"/>
      <w:pPr>
        <w:ind w:left="3600" w:hanging="360"/>
      </w:pPr>
      <w:rPr>
        <w:rFonts w:ascii="Courier New" w:hAnsi="Courier New" w:hint="default"/>
      </w:rPr>
    </w:lvl>
    <w:lvl w:ilvl="5" w:tplc="B254C2D6">
      <w:start w:val="1"/>
      <w:numFmt w:val="bullet"/>
      <w:lvlText w:val=""/>
      <w:lvlJc w:val="left"/>
      <w:pPr>
        <w:ind w:left="4320" w:hanging="360"/>
      </w:pPr>
      <w:rPr>
        <w:rFonts w:ascii="Wingdings" w:hAnsi="Wingdings" w:hint="default"/>
      </w:rPr>
    </w:lvl>
    <w:lvl w:ilvl="6" w:tplc="4870623A">
      <w:start w:val="1"/>
      <w:numFmt w:val="bullet"/>
      <w:lvlText w:val=""/>
      <w:lvlJc w:val="left"/>
      <w:pPr>
        <w:ind w:left="5040" w:hanging="360"/>
      </w:pPr>
      <w:rPr>
        <w:rFonts w:ascii="Symbol" w:hAnsi="Symbol" w:hint="default"/>
      </w:rPr>
    </w:lvl>
    <w:lvl w:ilvl="7" w:tplc="A3F45A6A">
      <w:start w:val="1"/>
      <w:numFmt w:val="bullet"/>
      <w:lvlText w:val="o"/>
      <w:lvlJc w:val="left"/>
      <w:pPr>
        <w:ind w:left="5760" w:hanging="360"/>
      </w:pPr>
      <w:rPr>
        <w:rFonts w:ascii="Courier New" w:hAnsi="Courier New" w:hint="default"/>
      </w:rPr>
    </w:lvl>
    <w:lvl w:ilvl="8" w:tplc="05D61AB0">
      <w:start w:val="1"/>
      <w:numFmt w:val="bullet"/>
      <w:lvlText w:val=""/>
      <w:lvlJc w:val="left"/>
      <w:pPr>
        <w:ind w:left="6480" w:hanging="360"/>
      </w:pPr>
      <w:rPr>
        <w:rFonts w:ascii="Wingdings" w:hAnsi="Wingdings" w:hint="default"/>
      </w:rPr>
    </w:lvl>
  </w:abstractNum>
  <w:abstractNum w:abstractNumId="16" w15:restartNumberingAfterBreak="0">
    <w:nsid w:val="64C64BD2"/>
    <w:multiLevelType w:val="hybridMultilevel"/>
    <w:tmpl w:val="E89C6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263A85"/>
    <w:multiLevelType w:val="hybridMultilevel"/>
    <w:tmpl w:val="686EC9A8"/>
    <w:lvl w:ilvl="0" w:tplc="E6061120">
      <w:start w:val="1"/>
      <w:numFmt w:val="decimal"/>
      <w:lvlText w:val="%1."/>
      <w:lvlJc w:val="left"/>
      <w:pPr>
        <w:ind w:left="720" w:hanging="360"/>
      </w:pPr>
    </w:lvl>
    <w:lvl w:ilvl="1" w:tplc="40D0EAD6">
      <w:start w:val="1"/>
      <w:numFmt w:val="lowerLetter"/>
      <w:lvlText w:val="%2."/>
      <w:lvlJc w:val="left"/>
      <w:pPr>
        <w:ind w:left="1440" w:hanging="360"/>
      </w:pPr>
    </w:lvl>
    <w:lvl w:ilvl="2" w:tplc="BFCC8460">
      <w:start w:val="1"/>
      <w:numFmt w:val="lowerRoman"/>
      <w:lvlText w:val="%3."/>
      <w:lvlJc w:val="right"/>
      <w:pPr>
        <w:ind w:left="2160" w:hanging="180"/>
      </w:pPr>
    </w:lvl>
    <w:lvl w:ilvl="3" w:tplc="B5A2AA66">
      <w:start w:val="1"/>
      <w:numFmt w:val="decimal"/>
      <w:lvlText w:val="%4."/>
      <w:lvlJc w:val="left"/>
      <w:pPr>
        <w:ind w:left="2880" w:hanging="360"/>
      </w:pPr>
    </w:lvl>
    <w:lvl w:ilvl="4" w:tplc="9EA48D2E">
      <w:start w:val="1"/>
      <w:numFmt w:val="lowerLetter"/>
      <w:lvlText w:val="%5."/>
      <w:lvlJc w:val="left"/>
      <w:pPr>
        <w:ind w:left="3600" w:hanging="360"/>
      </w:pPr>
    </w:lvl>
    <w:lvl w:ilvl="5" w:tplc="AA144108">
      <w:start w:val="1"/>
      <w:numFmt w:val="lowerRoman"/>
      <w:lvlText w:val="%6."/>
      <w:lvlJc w:val="right"/>
      <w:pPr>
        <w:ind w:left="4320" w:hanging="180"/>
      </w:pPr>
    </w:lvl>
    <w:lvl w:ilvl="6" w:tplc="5D7E2C70">
      <w:start w:val="1"/>
      <w:numFmt w:val="decimal"/>
      <w:lvlText w:val="%7."/>
      <w:lvlJc w:val="left"/>
      <w:pPr>
        <w:ind w:left="5040" w:hanging="360"/>
      </w:pPr>
    </w:lvl>
    <w:lvl w:ilvl="7" w:tplc="283E1CDA">
      <w:start w:val="1"/>
      <w:numFmt w:val="lowerLetter"/>
      <w:lvlText w:val="%8."/>
      <w:lvlJc w:val="left"/>
      <w:pPr>
        <w:ind w:left="5760" w:hanging="360"/>
      </w:pPr>
    </w:lvl>
    <w:lvl w:ilvl="8" w:tplc="2F3686EC">
      <w:start w:val="1"/>
      <w:numFmt w:val="lowerRoman"/>
      <w:lvlText w:val="%9."/>
      <w:lvlJc w:val="right"/>
      <w:pPr>
        <w:ind w:left="6480" w:hanging="180"/>
      </w:pPr>
    </w:lvl>
  </w:abstractNum>
  <w:abstractNum w:abstractNumId="18" w15:restartNumberingAfterBreak="0">
    <w:nsid w:val="6F920016"/>
    <w:multiLevelType w:val="hybridMultilevel"/>
    <w:tmpl w:val="11206D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A010FE"/>
    <w:multiLevelType w:val="hybridMultilevel"/>
    <w:tmpl w:val="38685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F22ADA"/>
    <w:multiLevelType w:val="hybridMultilevel"/>
    <w:tmpl w:val="4DBCB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C3680A"/>
    <w:multiLevelType w:val="hybridMultilevel"/>
    <w:tmpl w:val="2B6C3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EC55AA"/>
    <w:multiLevelType w:val="hybridMultilevel"/>
    <w:tmpl w:val="34866822"/>
    <w:lvl w:ilvl="0" w:tplc="69A41B8C">
      <w:start w:val="1"/>
      <w:numFmt w:val="decimal"/>
      <w:lvlText w:val="%1."/>
      <w:lvlJc w:val="left"/>
      <w:pPr>
        <w:ind w:left="720" w:hanging="360"/>
      </w:pPr>
    </w:lvl>
    <w:lvl w:ilvl="1" w:tplc="3612DD48">
      <w:start w:val="1"/>
      <w:numFmt w:val="lowerLetter"/>
      <w:lvlText w:val="%2."/>
      <w:lvlJc w:val="left"/>
      <w:pPr>
        <w:ind w:left="1440" w:hanging="360"/>
      </w:pPr>
    </w:lvl>
    <w:lvl w:ilvl="2" w:tplc="C9624FC6">
      <w:start w:val="1"/>
      <w:numFmt w:val="lowerRoman"/>
      <w:lvlText w:val="%3."/>
      <w:lvlJc w:val="right"/>
      <w:pPr>
        <w:ind w:left="2160" w:hanging="180"/>
      </w:pPr>
    </w:lvl>
    <w:lvl w:ilvl="3" w:tplc="E2FEB92E">
      <w:start w:val="1"/>
      <w:numFmt w:val="decimal"/>
      <w:lvlText w:val="%4."/>
      <w:lvlJc w:val="left"/>
      <w:pPr>
        <w:ind w:left="2880" w:hanging="360"/>
      </w:pPr>
    </w:lvl>
    <w:lvl w:ilvl="4" w:tplc="9F0CFA8A">
      <w:start w:val="1"/>
      <w:numFmt w:val="lowerLetter"/>
      <w:lvlText w:val="%5."/>
      <w:lvlJc w:val="left"/>
      <w:pPr>
        <w:ind w:left="3600" w:hanging="360"/>
      </w:pPr>
    </w:lvl>
    <w:lvl w:ilvl="5" w:tplc="0C7C57E4">
      <w:start w:val="1"/>
      <w:numFmt w:val="lowerRoman"/>
      <w:lvlText w:val="%6."/>
      <w:lvlJc w:val="right"/>
      <w:pPr>
        <w:ind w:left="4320" w:hanging="180"/>
      </w:pPr>
    </w:lvl>
    <w:lvl w:ilvl="6" w:tplc="4AD2AB7E">
      <w:start w:val="1"/>
      <w:numFmt w:val="decimal"/>
      <w:lvlText w:val="%7."/>
      <w:lvlJc w:val="left"/>
      <w:pPr>
        <w:ind w:left="5040" w:hanging="360"/>
      </w:pPr>
    </w:lvl>
    <w:lvl w:ilvl="7" w:tplc="AC0CDE4A">
      <w:start w:val="1"/>
      <w:numFmt w:val="lowerLetter"/>
      <w:lvlText w:val="%8."/>
      <w:lvlJc w:val="left"/>
      <w:pPr>
        <w:ind w:left="5760" w:hanging="360"/>
      </w:pPr>
    </w:lvl>
    <w:lvl w:ilvl="8" w:tplc="5AE2FD34">
      <w:start w:val="1"/>
      <w:numFmt w:val="lowerRoman"/>
      <w:lvlText w:val="%9."/>
      <w:lvlJc w:val="right"/>
      <w:pPr>
        <w:ind w:left="6480" w:hanging="180"/>
      </w:pPr>
    </w:lvl>
  </w:abstractNum>
  <w:abstractNum w:abstractNumId="23" w15:restartNumberingAfterBreak="0">
    <w:nsid w:val="79546B50"/>
    <w:multiLevelType w:val="hybridMultilevel"/>
    <w:tmpl w:val="74DA55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C42C5A"/>
    <w:multiLevelType w:val="hybridMultilevel"/>
    <w:tmpl w:val="7D047D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2"/>
  </w:num>
  <w:num w:numId="4">
    <w:abstractNumId w:val="19"/>
  </w:num>
  <w:num w:numId="5">
    <w:abstractNumId w:val="24"/>
  </w:num>
  <w:num w:numId="6">
    <w:abstractNumId w:val="21"/>
  </w:num>
  <w:num w:numId="7">
    <w:abstractNumId w:val="16"/>
  </w:num>
  <w:num w:numId="8">
    <w:abstractNumId w:val="14"/>
  </w:num>
  <w:num w:numId="9">
    <w:abstractNumId w:val="13"/>
  </w:num>
  <w:num w:numId="10">
    <w:abstractNumId w:val="9"/>
  </w:num>
  <w:num w:numId="11">
    <w:abstractNumId w:val="8"/>
  </w:num>
  <w:num w:numId="12">
    <w:abstractNumId w:val="12"/>
  </w:num>
  <w:num w:numId="13">
    <w:abstractNumId w:val="22"/>
  </w:num>
  <w:num w:numId="14">
    <w:abstractNumId w:val="7"/>
  </w:num>
  <w:num w:numId="15">
    <w:abstractNumId w:val="17"/>
  </w:num>
  <w:num w:numId="16">
    <w:abstractNumId w:val="11"/>
  </w:num>
  <w:num w:numId="17">
    <w:abstractNumId w:val="1"/>
  </w:num>
  <w:num w:numId="18">
    <w:abstractNumId w:val="6"/>
  </w:num>
  <w:num w:numId="19">
    <w:abstractNumId w:val="5"/>
  </w:num>
  <w:num w:numId="20">
    <w:abstractNumId w:val="15"/>
  </w:num>
  <w:num w:numId="21">
    <w:abstractNumId w:val="4"/>
  </w:num>
  <w:num w:numId="22">
    <w:abstractNumId w:val="20"/>
  </w:num>
  <w:num w:numId="23">
    <w:abstractNumId w:val="0"/>
  </w:num>
  <w:num w:numId="24">
    <w:abstractNumId w:val="18"/>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585"/>
    <w:rsid w:val="000A6BD1"/>
    <w:rsid w:val="001B32B4"/>
    <w:rsid w:val="00216DF9"/>
    <w:rsid w:val="00283AA8"/>
    <w:rsid w:val="00332B59"/>
    <w:rsid w:val="003931F6"/>
    <w:rsid w:val="00441D50"/>
    <w:rsid w:val="004A18D1"/>
    <w:rsid w:val="00540757"/>
    <w:rsid w:val="00594F8C"/>
    <w:rsid w:val="005A3EEC"/>
    <w:rsid w:val="005B24FC"/>
    <w:rsid w:val="006E3585"/>
    <w:rsid w:val="00705422"/>
    <w:rsid w:val="008C5D2C"/>
    <w:rsid w:val="008E4E19"/>
    <w:rsid w:val="009B7C8B"/>
    <w:rsid w:val="009D759D"/>
    <w:rsid w:val="009E4A03"/>
    <w:rsid w:val="009E7A0E"/>
    <w:rsid w:val="00A53585"/>
    <w:rsid w:val="00A94779"/>
    <w:rsid w:val="00AA0DB2"/>
    <w:rsid w:val="00B72132"/>
    <w:rsid w:val="00BD13F2"/>
    <w:rsid w:val="00D565E5"/>
    <w:rsid w:val="00DE0E9A"/>
    <w:rsid w:val="00E33207"/>
    <w:rsid w:val="00F14B27"/>
    <w:rsid w:val="00F72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306E2"/>
  <w15:chartTrackingRefBased/>
  <w15:docId w15:val="{246FA42C-BC66-4DF5-8ADD-EBE5261C9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0757"/>
    <w:pPr>
      <w:keepNext/>
      <w:keepLines/>
      <w:spacing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535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3585"/>
    <w:rPr>
      <w:rFonts w:ascii="Times New Roman" w:hAnsi="Times New Roman" w:cs="Times New Roman"/>
      <w:sz w:val="24"/>
      <w:szCs w:val="24"/>
    </w:rPr>
  </w:style>
  <w:style w:type="character" w:customStyle="1" w:styleId="Heading1Char">
    <w:name w:val="Heading 1 Char"/>
    <w:basedOn w:val="DefaultParagraphFont"/>
    <w:link w:val="Heading1"/>
    <w:uiPriority w:val="9"/>
    <w:rsid w:val="0054075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53585"/>
    <w:pPr>
      <w:outlineLvl w:val="9"/>
    </w:pPr>
  </w:style>
  <w:style w:type="character" w:customStyle="1" w:styleId="Heading2Char">
    <w:name w:val="Heading 2 Char"/>
    <w:basedOn w:val="DefaultParagraphFont"/>
    <w:link w:val="Heading2"/>
    <w:uiPriority w:val="9"/>
    <w:rsid w:val="00A53585"/>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A53585"/>
    <w:pPr>
      <w:spacing w:after="100"/>
    </w:pPr>
  </w:style>
  <w:style w:type="character" w:styleId="Hyperlink">
    <w:name w:val="Hyperlink"/>
    <w:basedOn w:val="DefaultParagraphFont"/>
    <w:uiPriority w:val="99"/>
    <w:unhideWhenUsed/>
    <w:rsid w:val="00A53585"/>
    <w:rPr>
      <w:color w:val="0563C1" w:themeColor="hyperlink"/>
      <w:u w:val="single"/>
    </w:rPr>
  </w:style>
  <w:style w:type="paragraph" w:styleId="ListParagraph">
    <w:name w:val="List Paragraph"/>
    <w:basedOn w:val="Normal"/>
    <w:uiPriority w:val="34"/>
    <w:qFormat/>
    <w:rsid w:val="00A53585"/>
    <w:pPr>
      <w:ind w:left="720"/>
      <w:contextualSpacing/>
    </w:pPr>
  </w:style>
  <w:style w:type="paragraph" w:styleId="Header">
    <w:name w:val="header"/>
    <w:basedOn w:val="Normal"/>
    <w:link w:val="HeaderChar"/>
    <w:uiPriority w:val="99"/>
    <w:unhideWhenUsed/>
    <w:rsid w:val="008E4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E19"/>
  </w:style>
  <w:style w:type="paragraph" w:styleId="Footer">
    <w:name w:val="footer"/>
    <w:basedOn w:val="Normal"/>
    <w:link w:val="FooterChar"/>
    <w:uiPriority w:val="99"/>
    <w:unhideWhenUsed/>
    <w:rsid w:val="008E4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E19"/>
  </w:style>
  <w:style w:type="character" w:styleId="FollowedHyperlink">
    <w:name w:val="FollowedHyperlink"/>
    <w:basedOn w:val="DefaultParagraphFont"/>
    <w:uiPriority w:val="99"/>
    <w:semiHidden/>
    <w:unhideWhenUsed/>
    <w:rsid w:val="00DE0E9A"/>
    <w:rPr>
      <w:color w:val="954F72" w:themeColor="followedHyperlink"/>
      <w:u w:val="single"/>
    </w:rPr>
  </w:style>
  <w:style w:type="paragraph" w:styleId="Title">
    <w:name w:val="Title"/>
    <w:basedOn w:val="Normal"/>
    <w:next w:val="Normal"/>
    <w:link w:val="TitleChar"/>
    <w:uiPriority w:val="10"/>
    <w:qFormat/>
    <w:rsid w:val="008C5D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5D2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C5D2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C5D2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ransfersExceptions@ni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u.edu/budget-planning/forms/index.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u.edu/budget-planning/forms/index.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iu.edu/budget-planning/files/balanced-budget-transfer-approval-guide.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ransfersExceptions@n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1A715-4CD7-4DAB-9E3E-57D8A83C1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6831</Characters>
  <Application>Microsoft Office Word</Application>
  <DocSecurity>0</DocSecurity>
  <Lines>119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Rogers</dc:creator>
  <cp:keywords/>
  <dc:description/>
  <cp:lastModifiedBy>Jessica Webb</cp:lastModifiedBy>
  <cp:revision>2</cp:revision>
  <dcterms:created xsi:type="dcterms:W3CDTF">2021-09-07T19:37:00Z</dcterms:created>
  <dcterms:modified xsi:type="dcterms:W3CDTF">2021-09-07T19:37:00Z</dcterms:modified>
</cp:coreProperties>
</file>