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866F" w14:textId="1D3CF328" w:rsidR="00B513B7" w:rsidRPr="00AC3389" w:rsidRDefault="00F16C10" w:rsidP="00FA2C63">
      <w:pPr>
        <w:pStyle w:val="Heading1"/>
        <w:jc w:val="center"/>
        <w:rPr>
          <w:rFonts w:ascii="Cambria" w:hAnsi="Cambria" w:cstheme="majorHAnsi"/>
          <w:color w:val="000000" w:themeColor="text1"/>
          <w:sz w:val="40"/>
          <w:szCs w:val="40"/>
        </w:rPr>
      </w:pPr>
      <w:bookmarkStart w:id="0" w:name="_Hlk48900182"/>
      <w:bookmarkEnd w:id="0"/>
      <w:r w:rsidRPr="00AC3389">
        <w:rPr>
          <w:rFonts w:ascii="Cambria" w:hAnsi="Cambria"/>
          <w:noProof/>
          <w:color w:val="000000" w:themeColor="text1"/>
          <w:sz w:val="72"/>
          <w:szCs w:val="72"/>
        </w:rPr>
        <mc:AlternateContent>
          <mc:Choice Requires="wps">
            <w:drawing>
              <wp:anchor distT="0" distB="0" distL="114300" distR="114300" simplePos="0" relativeHeight="251659264" behindDoc="1" locked="0" layoutInCell="1" allowOverlap="1" wp14:anchorId="461FC567" wp14:editId="24E766C5">
                <wp:simplePos x="0" y="0"/>
                <wp:positionH relativeFrom="margin">
                  <wp:align>left</wp:align>
                </wp:positionH>
                <wp:positionV relativeFrom="paragraph">
                  <wp:posOffset>-114300</wp:posOffset>
                </wp:positionV>
                <wp:extent cx="6076950" cy="864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76950" cy="8648700"/>
                        </a:xfrm>
                        <a:prstGeom prst="rect">
                          <a:avLst/>
                        </a:prstGeom>
                        <a:solidFill>
                          <a:srgbClr val="C000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D7F2D" id="Rectangle 2" o:spid="_x0000_s1026" style="position:absolute;margin-left:0;margin-top:-9pt;width:478.5pt;height:68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" fillcolor="#c00000" strokecolor="#aeaaaa [2414]" strokeweight="1pt">
                <w10:wrap anchorx="margin"/>
              </v:rect>
            </w:pict>
          </mc:Fallback>
        </mc:AlternateContent>
      </w:r>
      <w:r w:rsidR="00E6361D" w:rsidRPr="00AC3389">
        <w:rPr>
          <w:rFonts w:ascii="Cambria" w:hAnsi="Cambria"/>
          <w:color w:val="000000" w:themeColor="text1"/>
          <w:sz w:val="40"/>
          <w:szCs w:val="40"/>
        </w:rPr>
        <w:t xml:space="preserve">OFFICE OF RESEARCH COMPLIANCE, </w:t>
      </w:r>
      <w:r w:rsidR="00FA2C63" w:rsidRPr="00AC3389">
        <w:rPr>
          <w:rFonts w:ascii="Cambria" w:hAnsi="Cambria"/>
          <w:color w:val="000000" w:themeColor="text1"/>
          <w:sz w:val="40"/>
          <w:szCs w:val="40"/>
        </w:rPr>
        <w:br/>
      </w:r>
      <w:r w:rsidR="00E6361D" w:rsidRPr="00AC3389">
        <w:rPr>
          <w:rFonts w:ascii="Cambria" w:hAnsi="Cambria"/>
          <w:color w:val="000000" w:themeColor="text1"/>
          <w:sz w:val="40"/>
          <w:szCs w:val="40"/>
        </w:rPr>
        <w:t>INTEGRITY AND SAFETY</w:t>
      </w:r>
    </w:p>
    <w:p w14:paraId="0E7531F2" w14:textId="6BBC22E5" w:rsidR="00F16C10" w:rsidRPr="00AC3389" w:rsidRDefault="00E6361D" w:rsidP="00FA2C63">
      <w:pPr>
        <w:jc w:val="center"/>
        <w:rPr>
          <w:rFonts w:ascii="Cambria" w:hAnsi="Cambria" w:cstheme="majorHAnsi"/>
          <w:bCs/>
          <w:color w:val="FFFFFF" w:themeColor="background1"/>
          <w:sz w:val="36"/>
          <w:szCs w:val="36"/>
        </w:rPr>
      </w:pPr>
      <w:r w:rsidRPr="00AC3389">
        <w:rPr>
          <w:rFonts w:ascii="Cambria" w:hAnsi="Cambria" w:cstheme="majorHAnsi"/>
          <w:bCs/>
          <w:color w:val="FFFFFF" w:themeColor="background1"/>
          <w:sz w:val="36"/>
          <w:szCs w:val="36"/>
        </w:rPr>
        <w:t>ANNUAL REPORT 202</w:t>
      </w:r>
      <w:r w:rsidR="00E24E61" w:rsidRPr="00AC3389">
        <w:rPr>
          <w:rFonts w:ascii="Cambria" w:hAnsi="Cambria" w:cstheme="majorHAnsi"/>
          <w:bCs/>
          <w:color w:val="FFFFFF" w:themeColor="background1"/>
          <w:sz w:val="36"/>
          <w:szCs w:val="36"/>
        </w:rPr>
        <w:t>1</w:t>
      </w:r>
    </w:p>
    <w:p w14:paraId="2E9D838E" w14:textId="7C19150E" w:rsidR="00F16C10" w:rsidRDefault="00AC3389">
      <w:pPr>
        <w:rPr>
          <w:rFonts w:asciiTheme="majorHAnsi" w:hAnsiTheme="majorHAnsi" w:cstheme="majorHAnsi"/>
          <w:b/>
          <w:color w:val="FFFFFF" w:themeColor="background1"/>
          <w:sz w:val="56"/>
          <w:szCs w:val="56"/>
        </w:rPr>
      </w:pPr>
      <w:r>
        <w:rPr>
          <w:rFonts w:asciiTheme="majorHAnsi" w:hAnsiTheme="majorHAnsi" w:cstheme="majorHAnsi"/>
          <w:b/>
          <w:noProof/>
          <w:color w:val="FFFFFF" w:themeColor="background1"/>
          <w:sz w:val="56"/>
          <w:szCs w:val="56"/>
        </w:rPr>
        <mc:AlternateContent>
          <mc:Choice Requires="wps">
            <w:drawing>
              <wp:anchor distT="0" distB="0" distL="114300" distR="114300" simplePos="0" relativeHeight="251686912" behindDoc="0" locked="0" layoutInCell="1" allowOverlap="1" wp14:anchorId="6949C454" wp14:editId="0B50AE08">
                <wp:simplePos x="0" y="0"/>
                <wp:positionH relativeFrom="column">
                  <wp:posOffset>9524</wp:posOffset>
                </wp:positionH>
                <wp:positionV relativeFrom="paragraph">
                  <wp:posOffset>407035</wp:posOffset>
                </wp:positionV>
                <wp:extent cx="6067425" cy="38100"/>
                <wp:effectExtent l="19050" t="38100" r="47625" b="38100"/>
                <wp:wrapNone/>
                <wp:docPr id="16" name="Straight Connector 16"/>
                <wp:cNvGraphicFramePr/>
                <a:graphic xmlns:a="http://schemas.openxmlformats.org/drawingml/2006/main">
                  <a:graphicData uri="http://schemas.microsoft.com/office/word/2010/wordprocessingShape">
                    <wps:wsp>
                      <wps:cNvCnPr/>
                      <wps:spPr>
                        <a:xfrm flipV="1">
                          <a:off x="0" y="0"/>
                          <a:ext cx="6067425" cy="3810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E794D" id="Straight Connector 1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75pt,32.05pt" to="47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" strokecolor="black [3213]" strokeweight="6pt">
                <v:stroke joinstyle="miter"/>
              </v:line>
            </w:pict>
          </mc:Fallback>
        </mc:AlternateContent>
      </w:r>
    </w:p>
    <w:p w14:paraId="23A46F1F" w14:textId="656B1551" w:rsidR="00F16C10" w:rsidRDefault="00AC3389">
      <w:pPr>
        <w:rPr>
          <w:rFonts w:asciiTheme="majorHAnsi" w:hAnsiTheme="majorHAnsi" w:cstheme="majorHAnsi"/>
          <w:b/>
          <w:color w:val="FFFFFF" w:themeColor="background1"/>
          <w:sz w:val="56"/>
          <w:szCs w:val="56"/>
        </w:rPr>
      </w:pPr>
      <w:r>
        <w:rPr>
          <w:rFonts w:asciiTheme="majorHAnsi" w:hAnsiTheme="majorHAnsi" w:cstheme="majorHAnsi"/>
          <w:b/>
          <w:noProof/>
          <w:color w:val="FFFFFF" w:themeColor="background1"/>
          <w:sz w:val="56"/>
          <w:szCs w:val="56"/>
        </w:rPr>
        <mc:AlternateContent>
          <mc:Choice Requires="wps">
            <w:drawing>
              <wp:anchor distT="0" distB="0" distL="114300" distR="114300" simplePos="0" relativeHeight="251688960" behindDoc="0" locked="0" layoutInCell="1" allowOverlap="1" wp14:anchorId="40C3D32D" wp14:editId="2A29D102">
                <wp:simplePos x="0" y="0"/>
                <wp:positionH relativeFrom="column">
                  <wp:posOffset>0</wp:posOffset>
                </wp:positionH>
                <wp:positionV relativeFrom="paragraph">
                  <wp:posOffset>38100</wp:posOffset>
                </wp:positionV>
                <wp:extent cx="6067425" cy="38100"/>
                <wp:effectExtent l="19050" t="38100" r="47625" b="38100"/>
                <wp:wrapNone/>
                <wp:docPr id="18" name="Straight Connector 18"/>
                <wp:cNvGraphicFramePr/>
                <a:graphic xmlns:a="http://schemas.openxmlformats.org/drawingml/2006/main">
                  <a:graphicData uri="http://schemas.microsoft.com/office/word/2010/wordprocessingShape">
                    <wps:wsp>
                      <wps:cNvCnPr/>
                      <wps:spPr>
                        <a:xfrm flipV="1">
                          <a:off x="0" y="0"/>
                          <a:ext cx="6067425" cy="3810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FD8C5" id="Straight Connector 18"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3pt" to="4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" strokecolor="black [3213]" strokeweight="6pt">
                <v:stroke joinstyle="miter"/>
              </v:line>
            </w:pict>
          </mc:Fallback>
        </mc:AlternateContent>
      </w:r>
    </w:p>
    <w:p w14:paraId="3ACD12B5" w14:textId="581DBEEF" w:rsidR="00F16C10" w:rsidRDefault="00AC3389">
      <w:pPr>
        <w:rPr>
          <w:rFonts w:asciiTheme="majorHAnsi" w:hAnsiTheme="majorHAnsi" w:cstheme="majorHAnsi"/>
          <w:b/>
          <w:color w:val="FFFFFF" w:themeColor="background1"/>
          <w:sz w:val="56"/>
          <w:szCs w:val="56"/>
        </w:rPr>
      </w:pPr>
      <w:r>
        <w:rPr>
          <w:rFonts w:asciiTheme="majorHAnsi" w:hAnsiTheme="majorHAnsi" w:cstheme="majorHAnsi"/>
          <w:b/>
          <w:noProof/>
          <w:color w:val="FFFFFF" w:themeColor="background1"/>
          <w:sz w:val="56"/>
          <w:szCs w:val="56"/>
        </w:rPr>
        <mc:AlternateContent>
          <mc:Choice Requires="wps">
            <w:drawing>
              <wp:anchor distT="0" distB="0" distL="114300" distR="114300" simplePos="0" relativeHeight="251691008" behindDoc="0" locked="0" layoutInCell="1" allowOverlap="1" wp14:anchorId="10D49F65" wp14:editId="0832AFFE">
                <wp:simplePos x="0" y="0"/>
                <wp:positionH relativeFrom="margin">
                  <wp:align>left</wp:align>
                </wp:positionH>
                <wp:positionV relativeFrom="paragraph">
                  <wp:posOffset>4162425</wp:posOffset>
                </wp:positionV>
                <wp:extent cx="6067425" cy="38100"/>
                <wp:effectExtent l="19050" t="38100" r="47625" b="38100"/>
                <wp:wrapNone/>
                <wp:docPr id="23" name="Straight Connector 23"/>
                <wp:cNvGraphicFramePr/>
                <a:graphic xmlns:a="http://schemas.openxmlformats.org/drawingml/2006/main">
                  <a:graphicData uri="http://schemas.microsoft.com/office/word/2010/wordprocessingShape">
                    <wps:wsp>
                      <wps:cNvCnPr/>
                      <wps:spPr>
                        <a:xfrm flipV="1">
                          <a:off x="0" y="0"/>
                          <a:ext cx="6067425" cy="3810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32A52" id="Straight Connector 23" o:spid="_x0000_s1026" style="position:absolute;flip:y;z-index:251691008;visibility:visible;mso-wrap-style:square;mso-wrap-distance-left:9pt;mso-wrap-distance-top:0;mso-wrap-distance-right:9pt;mso-wrap-distance-bottom:0;mso-position-horizontal:left;mso-position-horizontal-relative:margin;mso-position-vertical:absolute;mso-position-vertical-relative:text" from="0,327.75pt" to="477.7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" strokecolor="black [3213]" strokeweight="6pt">
                <v:stroke joinstyle="miter"/>
                <w10:wrap anchorx="margin"/>
              </v:line>
            </w:pict>
          </mc:Fallback>
        </mc:AlternateContent>
      </w:r>
      <w:r w:rsidR="00F16C10">
        <w:rPr>
          <w:b/>
          <w:noProof/>
          <w:sz w:val="28"/>
          <w:szCs w:val="28"/>
        </w:rPr>
        <w:drawing>
          <wp:inline distT="0" distB="0" distL="0" distR="0" wp14:anchorId="1B8A1B08" wp14:editId="0A5A6FA6">
            <wp:extent cx="6057900" cy="4305300"/>
            <wp:effectExtent l="0" t="0" r="0" b="0"/>
            <wp:docPr id="1" name="Picture 1" descr="A grid with small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id with small circles"/>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57900" cy="4305300"/>
                    </a:xfrm>
                    <a:prstGeom prst="rect">
                      <a:avLst/>
                    </a:prstGeom>
                  </pic:spPr>
                </pic:pic>
              </a:graphicData>
            </a:graphic>
          </wp:inline>
        </w:drawing>
      </w:r>
    </w:p>
    <w:p w14:paraId="43E42672" w14:textId="4E05EE3F" w:rsidR="006578AE" w:rsidRDefault="006578AE">
      <w:pPr>
        <w:rPr>
          <w:b/>
          <w:sz w:val="28"/>
          <w:szCs w:val="28"/>
        </w:rPr>
      </w:pPr>
    </w:p>
    <w:p w14:paraId="7CF3EB8D" w14:textId="77777777" w:rsidR="006578AE" w:rsidRDefault="006578AE">
      <w:pPr>
        <w:rPr>
          <w:b/>
          <w:sz w:val="28"/>
          <w:szCs w:val="28"/>
        </w:rPr>
      </w:pPr>
    </w:p>
    <w:p w14:paraId="1F9CC62B" w14:textId="22A3B217" w:rsidR="00B513B7" w:rsidRDefault="00B513B7">
      <w:pPr>
        <w:rPr>
          <w:b/>
          <w:sz w:val="28"/>
          <w:szCs w:val="28"/>
        </w:rPr>
      </w:pPr>
      <w:r>
        <w:rPr>
          <w:b/>
          <w:sz w:val="28"/>
          <w:szCs w:val="28"/>
        </w:rPr>
        <w:br w:type="page"/>
      </w:r>
    </w:p>
    <w:p w14:paraId="0C248FAA" w14:textId="77777777" w:rsidR="000E5D86" w:rsidRDefault="000E5D86" w:rsidP="000E5D86">
      <w:pPr>
        <w:rPr>
          <w:rFonts w:ascii="Cambria" w:hAnsi="Cambria"/>
          <w:bCs/>
          <w:color w:val="C00000"/>
          <w:sz w:val="36"/>
          <w:szCs w:val="36"/>
        </w:rPr>
      </w:pPr>
      <w:r w:rsidRPr="00116194">
        <w:rPr>
          <w:rFonts w:ascii="Cambria" w:hAnsi="Cambria"/>
          <w:bCs/>
          <w:color w:val="C00000"/>
          <w:sz w:val="36"/>
          <w:szCs w:val="36"/>
        </w:rPr>
        <w:lastRenderedPageBreak/>
        <w:t>Table of Contents</w:t>
      </w:r>
    </w:p>
    <w:p w14:paraId="71A82939"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sz w:val="20"/>
          <w:szCs w:val="20"/>
        </w:rPr>
        <w:t>About ORCIS</w:t>
      </w:r>
      <w:r w:rsidRPr="006221E9">
        <w:rPr>
          <w:rFonts w:ascii="Calibri" w:hAnsi="Calibri" w:cs="Calibri"/>
          <w:sz w:val="20"/>
          <w:szCs w:val="20"/>
        </w:rPr>
        <w:tab/>
      </w:r>
      <w:r>
        <w:rPr>
          <w:rFonts w:ascii="Calibri" w:hAnsi="Calibri" w:cs="Calibri"/>
          <w:sz w:val="20"/>
          <w:szCs w:val="20"/>
        </w:rPr>
        <w:t>3</w:t>
      </w:r>
    </w:p>
    <w:p w14:paraId="5B425FF3" w14:textId="77777777" w:rsidR="000E5D86" w:rsidRPr="006221E9"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sz w:val="20"/>
          <w:szCs w:val="20"/>
        </w:rPr>
        <w:t>Compliance</w:t>
      </w:r>
      <w:r w:rsidRPr="006221E9">
        <w:rPr>
          <w:rFonts w:ascii="Calibri" w:hAnsi="Calibri" w:cs="Calibri"/>
          <w:sz w:val="20"/>
          <w:szCs w:val="20"/>
        </w:rPr>
        <w:tab/>
      </w:r>
      <w:r>
        <w:rPr>
          <w:rFonts w:ascii="Calibri" w:hAnsi="Calibri" w:cs="Calibri"/>
          <w:sz w:val="20"/>
          <w:szCs w:val="20"/>
        </w:rPr>
        <w:t>4</w:t>
      </w:r>
    </w:p>
    <w:p w14:paraId="1C67CB04" w14:textId="77777777" w:rsidR="000E5D86" w:rsidRPr="006221E9"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sz w:val="20"/>
          <w:szCs w:val="20"/>
        </w:rPr>
        <w:t>Human Research</w:t>
      </w:r>
      <w:r w:rsidRPr="006221E9">
        <w:rPr>
          <w:rFonts w:ascii="Calibri" w:hAnsi="Calibri" w:cs="Calibri"/>
          <w:sz w:val="20"/>
          <w:szCs w:val="20"/>
        </w:rPr>
        <w:tab/>
      </w:r>
      <w:r>
        <w:rPr>
          <w:rFonts w:ascii="Calibri" w:hAnsi="Calibri" w:cs="Calibri"/>
          <w:sz w:val="20"/>
          <w:szCs w:val="20"/>
        </w:rPr>
        <w:t>5</w:t>
      </w:r>
    </w:p>
    <w:p w14:paraId="54E414D8"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Applications</w:t>
      </w:r>
      <w:r w:rsidRPr="006221E9">
        <w:rPr>
          <w:rFonts w:ascii="Calibri" w:hAnsi="Calibri" w:cs="Calibri"/>
          <w:sz w:val="20"/>
          <w:szCs w:val="20"/>
        </w:rPr>
        <w:tab/>
      </w:r>
      <w:r>
        <w:rPr>
          <w:rFonts w:ascii="Calibri" w:hAnsi="Calibri" w:cs="Calibri"/>
          <w:sz w:val="20"/>
          <w:szCs w:val="20"/>
        </w:rPr>
        <w:t>5</w:t>
      </w:r>
    </w:p>
    <w:p w14:paraId="4D008BBE"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Training</w:t>
      </w:r>
      <w:r>
        <w:rPr>
          <w:rFonts w:ascii="Calibri" w:hAnsi="Calibri" w:cs="Calibri"/>
          <w:sz w:val="20"/>
          <w:szCs w:val="20"/>
        </w:rPr>
        <w:tab/>
        <w:t>6</w:t>
      </w:r>
    </w:p>
    <w:p w14:paraId="28FDD9BB"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Electronic Submissions</w:t>
      </w:r>
      <w:r>
        <w:rPr>
          <w:rFonts w:ascii="Calibri" w:hAnsi="Calibri" w:cs="Calibri"/>
          <w:sz w:val="20"/>
          <w:szCs w:val="20"/>
        </w:rPr>
        <w:tab/>
        <w:t>7</w:t>
      </w:r>
    </w:p>
    <w:p w14:paraId="2D96AF61"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Covid-19 Efforts</w:t>
      </w:r>
      <w:r>
        <w:rPr>
          <w:rFonts w:ascii="Calibri" w:hAnsi="Calibri" w:cs="Calibri"/>
          <w:sz w:val="20"/>
          <w:szCs w:val="20"/>
        </w:rPr>
        <w:tab/>
        <w:t>7</w:t>
      </w:r>
    </w:p>
    <w:p w14:paraId="08D2EAEB"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Payment Updates</w:t>
      </w:r>
      <w:r>
        <w:rPr>
          <w:rFonts w:ascii="Calibri" w:hAnsi="Calibri" w:cs="Calibri"/>
          <w:sz w:val="20"/>
          <w:szCs w:val="20"/>
        </w:rPr>
        <w:tab/>
        <w:t>7</w:t>
      </w:r>
    </w:p>
    <w:p w14:paraId="1E8AE236"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External Research Procedure</w:t>
      </w:r>
      <w:r>
        <w:rPr>
          <w:rFonts w:ascii="Calibri" w:hAnsi="Calibri" w:cs="Calibri"/>
          <w:sz w:val="20"/>
          <w:szCs w:val="20"/>
        </w:rPr>
        <w:tab/>
        <w:t>7</w:t>
      </w:r>
    </w:p>
    <w:p w14:paraId="5114E4DE"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Professional Development</w:t>
      </w:r>
      <w:r>
        <w:rPr>
          <w:rFonts w:ascii="Calibri" w:hAnsi="Calibri" w:cs="Calibri"/>
          <w:sz w:val="20"/>
          <w:szCs w:val="20"/>
        </w:rPr>
        <w:tab/>
        <w:t>7</w:t>
      </w:r>
    </w:p>
    <w:p w14:paraId="299CFBC8"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Animal Research</w:t>
      </w:r>
      <w:r w:rsidRPr="009B31B1">
        <w:rPr>
          <w:rFonts w:ascii="Calibri" w:hAnsi="Calibri" w:cs="Calibri"/>
          <w:sz w:val="20"/>
          <w:szCs w:val="20"/>
        </w:rPr>
        <w:tab/>
      </w:r>
      <w:r>
        <w:rPr>
          <w:rFonts w:ascii="Calibri" w:hAnsi="Calibri" w:cs="Calibri"/>
          <w:sz w:val="20"/>
          <w:szCs w:val="20"/>
        </w:rPr>
        <w:t>8</w:t>
      </w:r>
    </w:p>
    <w:p w14:paraId="0673E70D"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ab/>
      </w:r>
      <w:r>
        <w:rPr>
          <w:rFonts w:ascii="Calibri" w:hAnsi="Calibri" w:cs="Calibri"/>
          <w:sz w:val="20"/>
          <w:szCs w:val="20"/>
        </w:rPr>
        <w:t>Submissions</w:t>
      </w:r>
      <w:r>
        <w:rPr>
          <w:rFonts w:ascii="Calibri" w:hAnsi="Calibri" w:cs="Calibri"/>
          <w:sz w:val="20"/>
          <w:szCs w:val="20"/>
        </w:rPr>
        <w:tab/>
        <w:t>8</w:t>
      </w:r>
    </w:p>
    <w:p w14:paraId="27738476"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Inspections</w:t>
      </w:r>
      <w:r>
        <w:rPr>
          <w:rFonts w:ascii="Calibri" w:hAnsi="Calibri" w:cs="Calibri"/>
          <w:sz w:val="20"/>
          <w:szCs w:val="20"/>
        </w:rPr>
        <w:tab/>
        <w:t>8</w:t>
      </w:r>
    </w:p>
    <w:p w14:paraId="15AD7930"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Reporting</w:t>
      </w:r>
      <w:r>
        <w:rPr>
          <w:rFonts w:ascii="Calibri" w:hAnsi="Calibri" w:cs="Calibri"/>
          <w:sz w:val="20"/>
          <w:szCs w:val="20"/>
        </w:rPr>
        <w:tab/>
        <w:t>8</w:t>
      </w:r>
    </w:p>
    <w:p w14:paraId="3B0EE381"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Training</w:t>
      </w:r>
      <w:r>
        <w:rPr>
          <w:rFonts w:ascii="Calibri" w:hAnsi="Calibri" w:cs="Calibri"/>
          <w:sz w:val="20"/>
          <w:szCs w:val="20"/>
        </w:rPr>
        <w:tab/>
        <w:t>9</w:t>
      </w:r>
    </w:p>
    <w:p w14:paraId="453AA720"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FOIA Assistance</w:t>
      </w:r>
      <w:r>
        <w:rPr>
          <w:rFonts w:ascii="Calibri" w:hAnsi="Calibri" w:cs="Calibri"/>
          <w:sz w:val="20"/>
          <w:szCs w:val="20"/>
        </w:rPr>
        <w:tab/>
        <w:t>9</w:t>
      </w:r>
    </w:p>
    <w:p w14:paraId="762A599A"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Research Integrity</w:t>
      </w:r>
      <w:r>
        <w:rPr>
          <w:rFonts w:ascii="Calibri" w:hAnsi="Calibri" w:cs="Calibri"/>
          <w:sz w:val="20"/>
          <w:szCs w:val="20"/>
        </w:rPr>
        <w:tab/>
        <w:t>10</w:t>
      </w:r>
    </w:p>
    <w:p w14:paraId="51BC6720"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ab/>
      </w:r>
      <w:r>
        <w:rPr>
          <w:rFonts w:ascii="Calibri" w:hAnsi="Calibri" w:cs="Calibri"/>
          <w:sz w:val="20"/>
          <w:szCs w:val="20"/>
        </w:rPr>
        <w:t>Export Control</w:t>
      </w:r>
      <w:r>
        <w:rPr>
          <w:rFonts w:ascii="Calibri" w:hAnsi="Calibri" w:cs="Calibri"/>
          <w:sz w:val="20"/>
          <w:szCs w:val="20"/>
        </w:rPr>
        <w:tab/>
        <w:t>10</w:t>
      </w:r>
    </w:p>
    <w:p w14:paraId="43CD0BF8"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Data Management</w:t>
      </w:r>
      <w:r>
        <w:rPr>
          <w:rFonts w:ascii="Calibri" w:hAnsi="Calibri" w:cs="Calibri"/>
          <w:sz w:val="20"/>
          <w:szCs w:val="20"/>
        </w:rPr>
        <w:tab/>
        <w:t>11</w:t>
      </w:r>
    </w:p>
    <w:p w14:paraId="2C50FEAA"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Foreign Influence</w:t>
      </w:r>
      <w:r>
        <w:rPr>
          <w:rFonts w:ascii="Calibri" w:hAnsi="Calibri" w:cs="Calibri"/>
          <w:sz w:val="20"/>
          <w:szCs w:val="20"/>
        </w:rPr>
        <w:tab/>
        <w:t>11</w:t>
      </w:r>
    </w:p>
    <w:p w14:paraId="3A4683DE"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Conflicts of Interest</w:t>
      </w:r>
      <w:r>
        <w:rPr>
          <w:rFonts w:ascii="Calibri" w:hAnsi="Calibri" w:cs="Calibri"/>
          <w:sz w:val="20"/>
          <w:szCs w:val="20"/>
        </w:rPr>
        <w:tab/>
        <w:t>11</w:t>
      </w:r>
    </w:p>
    <w:p w14:paraId="3E3DB9C2"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Responsible Conduct of Research</w:t>
      </w:r>
      <w:r>
        <w:rPr>
          <w:rFonts w:ascii="Calibri" w:hAnsi="Calibri" w:cs="Calibri"/>
          <w:sz w:val="20"/>
          <w:szCs w:val="20"/>
        </w:rPr>
        <w:tab/>
        <w:t>12</w:t>
      </w:r>
    </w:p>
    <w:p w14:paraId="610C26B5"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Research Misconduct</w:t>
      </w:r>
      <w:r>
        <w:rPr>
          <w:rFonts w:ascii="Calibri" w:hAnsi="Calibri" w:cs="Calibri"/>
          <w:sz w:val="20"/>
          <w:szCs w:val="20"/>
        </w:rPr>
        <w:tab/>
        <w:t>14</w:t>
      </w:r>
    </w:p>
    <w:p w14:paraId="2A35E8CA"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Professional Development</w:t>
      </w:r>
      <w:r>
        <w:rPr>
          <w:rFonts w:ascii="Calibri" w:hAnsi="Calibri" w:cs="Calibri"/>
          <w:sz w:val="20"/>
          <w:szCs w:val="20"/>
        </w:rPr>
        <w:tab/>
        <w:t>14</w:t>
      </w:r>
    </w:p>
    <w:p w14:paraId="71304A99"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Safety</w:t>
      </w:r>
      <w:r w:rsidRPr="004402FF">
        <w:rPr>
          <w:rFonts w:ascii="Calibri" w:hAnsi="Calibri" w:cs="Calibri"/>
          <w:sz w:val="20"/>
          <w:szCs w:val="20"/>
        </w:rPr>
        <w:tab/>
        <w:t>1</w:t>
      </w:r>
      <w:r>
        <w:rPr>
          <w:rFonts w:ascii="Calibri" w:hAnsi="Calibri" w:cs="Calibri"/>
          <w:sz w:val="20"/>
          <w:szCs w:val="20"/>
        </w:rPr>
        <w:t>5</w:t>
      </w:r>
    </w:p>
    <w:p w14:paraId="64AAB8C8"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Laboratory Safety</w:t>
      </w:r>
      <w:r>
        <w:rPr>
          <w:rFonts w:ascii="Calibri" w:hAnsi="Calibri" w:cs="Calibri"/>
          <w:sz w:val="20"/>
          <w:szCs w:val="20"/>
        </w:rPr>
        <w:tab/>
        <w:t>15</w:t>
      </w:r>
    </w:p>
    <w:p w14:paraId="047FAB66"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Laboratory Safety Committee</w:t>
      </w:r>
      <w:r>
        <w:rPr>
          <w:rFonts w:ascii="Calibri" w:hAnsi="Calibri" w:cs="Calibri"/>
          <w:sz w:val="20"/>
          <w:szCs w:val="20"/>
        </w:rPr>
        <w:tab/>
        <w:t>15</w:t>
      </w:r>
    </w:p>
    <w:p w14:paraId="30DF1A42"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Training</w:t>
      </w:r>
      <w:r>
        <w:rPr>
          <w:rFonts w:ascii="Calibri" w:hAnsi="Calibri" w:cs="Calibri"/>
          <w:sz w:val="20"/>
          <w:szCs w:val="20"/>
        </w:rPr>
        <w:tab/>
        <w:t>15</w:t>
      </w:r>
    </w:p>
    <w:p w14:paraId="79FF2446"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Waste Disposal</w:t>
      </w:r>
      <w:r>
        <w:rPr>
          <w:rFonts w:ascii="Calibri" w:hAnsi="Calibri" w:cs="Calibri"/>
          <w:sz w:val="20"/>
          <w:szCs w:val="20"/>
        </w:rPr>
        <w:tab/>
        <w:t>16</w:t>
      </w:r>
    </w:p>
    <w:p w14:paraId="4C1F8A83"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Institutional Biosafety Committee</w:t>
      </w:r>
      <w:r>
        <w:rPr>
          <w:rFonts w:ascii="Calibri" w:hAnsi="Calibri" w:cs="Calibri"/>
          <w:sz w:val="20"/>
          <w:szCs w:val="20"/>
        </w:rPr>
        <w:tab/>
        <w:t>16</w:t>
      </w:r>
    </w:p>
    <w:p w14:paraId="7111B1CF"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Radiation Safety</w:t>
      </w:r>
      <w:r>
        <w:rPr>
          <w:rFonts w:ascii="Calibri" w:hAnsi="Calibri" w:cs="Calibri"/>
          <w:sz w:val="20"/>
          <w:szCs w:val="20"/>
        </w:rPr>
        <w:tab/>
        <w:t>16</w:t>
      </w:r>
    </w:p>
    <w:p w14:paraId="4EDF3375"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Laser Safety Committee</w:t>
      </w:r>
      <w:r>
        <w:rPr>
          <w:rFonts w:ascii="Calibri" w:hAnsi="Calibri" w:cs="Calibri"/>
          <w:sz w:val="20"/>
          <w:szCs w:val="20"/>
        </w:rPr>
        <w:tab/>
        <w:t>16</w:t>
      </w:r>
    </w:p>
    <w:p w14:paraId="63C5E0A6"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Internal Inspections</w:t>
      </w:r>
      <w:r>
        <w:rPr>
          <w:rFonts w:ascii="Calibri" w:hAnsi="Calibri" w:cs="Calibri"/>
          <w:sz w:val="20"/>
          <w:szCs w:val="20"/>
        </w:rPr>
        <w:tab/>
        <w:t>17</w:t>
      </w:r>
    </w:p>
    <w:p w14:paraId="394835A5"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External Inspections</w:t>
      </w:r>
      <w:r>
        <w:rPr>
          <w:rFonts w:ascii="Calibri" w:hAnsi="Calibri" w:cs="Calibri"/>
          <w:sz w:val="20"/>
          <w:szCs w:val="20"/>
        </w:rPr>
        <w:tab/>
        <w:t>17</w:t>
      </w:r>
    </w:p>
    <w:p w14:paraId="223EBFA7"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Professional Development</w:t>
      </w:r>
      <w:r>
        <w:rPr>
          <w:rFonts w:ascii="Calibri" w:hAnsi="Calibri" w:cs="Calibri"/>
          <w:sz w:val="20"/>
          <w:szCs w:val="20"/>
        </w:rPr>
        <w:tab/>
        <w:t>17</w:t>
      </w:r>
    </w:p>
    <w:p w14:paraId="5C4B32CC" w14:textId="77777777" w:rsidR="000E5D86"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Outreach</w:t>
      </w:r>
      <w:r>
        <w:rPr>
          <w:rFonts w:ascii="Calibri" w:hAnsi="Calibri" w:cs="Calibri"/>
          <w:sz w:val="20"/>
          <w:szCs w:val="20"/>
        </w:rPr>
        <w:tab/>
        <w:t>17</w:t>
      </w:r>
    </w:p>
    <w:p w14:paraId="4BE8A0BD" w14:textId="77777777" w:rsidR="000E5D86" w:rsidRPr="007F3EEA" w:rsidRDefault="000E5D86" w:rsidP="000E5D86">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Conclusion and Outlook</w:t>
      </w:r>
      <w:r w:rsidRPr="007F3EEA">
        <w:rPr>
          <w:rFonts w:ascii="Calibri" w:hAnsi="Calibri" w:cs="Calibri"/>
          <w:sz w:val="20"/>
          <w:szCs w:val="20"/>
        </w:rPr>
        <w:tab/>
      </w:r>
      <w:r>
        <w:rPr>
          <w:rFonts w:ascii="Calibri" w:hAnsi="Calibri" w:cs="Calibri"/>
          <w:sz w:val="20"/>
          <w:szCs w:val="20"/>
        </w:rPr>
        <w:t>18</w:t>
      </w:r>
    </w:p>
    <w:p w14:paraId="2547DD99" w14:textId="77777777" w:rsidR="007F3EEA" w:rsidRPr="007F3EEA" w:rsidRDefault="007F3EEA" w:rsidP="00626C21">
      <w:pPr>
        <w:tabs>
          <w:tab w:val="left" w:pos="1800"/>
          <w:tab w:val="right" w:leader="dot" w:pos="8550"/>
        </w:tabs>
        <w:spacing w:after="0" w:line="228" w:lineRule="auto"/>
        <w:ind w:left="1440"/>
        <w:jc w:val="both"/>
        <w:rPr>
          <w:rFonts w:ascii="Calibri" w:hAnsi="Calibri" w:cs="Calibri"/>
          <w:sz w:val="20"/>
          <w:szCs w:val="20"/>
        </w:rPr>
      </w:pPr>
    </w:p>
    <w:p w14:paraId="18AD8FF5" w14:textId="77777777" w:rsidR="005F685C" w:rsidRDefault="005F685C" w:rsidP="00626C21">
      <w:pPr>
        <w:tabs>
          <w:tab w:val="left" w:pos="1800"/>
          <w:tab w:val="right" w:leader="dot" w:pos="8550"/>
        </w:tabs>
        <w:spacing w:after="0" w:line="228" w:lineRule="auto"/>
        <w:ind w:left="1440"/>
        <w:jc w:val="both"/>
        <w:rPr>
          <w:rFonts w:ascii="Calibri" w:hAnsi="Calibri" w:cs="Calibri"/>
          <w:sz w:val="20"/>
          <w:szCs w:val="20"/>
        </w:rPr>
      </w:pPr>
    </w:p>
    <w:p w14:paraId="420AF83F" w14:textId="77777777" w:rsidR="005F685C" w:rsidRDefault="005F685C" w:rsidP="00626C21">
      <w:pPr>
        <w:tabs>
          <w:tab w:val="left" w:pos="1800"/>
          <w:tab w:val="right" w:leader="dot" w:pos="8550"/>
        </w:tabs>
        <w:spacing w:after="0" w:line="228" w:lineRule="auto"/>
        <w:ind w:left="1440"/>
        <w:jc w:val="both"/>
        <w:rPr>
          <w:rFonts w:ascii="Calibri" w:hAnsi="Calibri" w:cs="Calibri"/>
          <w:sz w:val="20"/>
          <w:szCs w:val="20"/>
        </w:rPr>
      </w:pPr>
    </w:p>
    <w:p w14:paraId="02CFA19E" w14:textId="77777777" w:rsidR="00F7785B" w:rsidRDefault="00F7785B" w:rsidP="00626C21">
      <w:pPr>
        <w:tabs>
          <w:tab w:val="left" w:pos="1800"/>
          <w:tab w:val="right" w:leader="dot" w:pos="8550"/>
        </w:tabs>
        <w:spacing w:after="0" w:line="228" w:lineRule="auto"/>
        <w:ind w:left="1440"/>
        <w:jc w:val="both"/>
        <w:rPr>
          <w:rFonts w:ascii="Calibri" w:hAnsi="Calibri" w:cs="Calibri"/>
          <w:sz w:val="20"/>
          <w:szCs w:val="20"/>
        </w:rPr>
      </w:pPr>
    </w:p>
    <w:p w14:paraId="1580B85C" w14:textId="77777777" w:rsidR="00180F96" w:rsidRDefault="00180F96" w:rsidP="00626C21">
      <w:pPr>
        <w:tabs>
          <w:tab w:val="left" w:pos="1800"/>
          <w:tab w:val="right" w:leader="dot" w:pos="8550"/>
        </w:tabs>
        <w:spacing w:after="0" w:line="228" w:lineRule="auto"/>
        <w:ind w:left="1440"/>
        <w:jc w:val="both"/>
        <w:rPr>
          <w:rFonts w:ascii="Calibri" w:hAnsi="Calibri" w:cs="Calibri"/>
          <w:sz w:val="20"/>
          <w:szCs w:val="20"/>
        </w:rPr>
      </w:pPr>
    </w:p>
    <w:p w14:paraId="1769ABCF" w14:textId="77777777" w:rsidR="001F442C" w:rsidRDefault="001F442C" w:rsidP="00626C21">
      <w:pPr>
        <w:tabs>
          <w:tab w:val="left" w:pos="1800"/>
          <w:tab w:val="right" w:leader="dot" w:pos="8550"/>
        </w:tabs>
        <w:spacing w:after="0" w:line="228" w:lineRule="auto"/>
        <w:ind w:left="1440"/>
        <w:jc w:val="both"/>
        <w:rPr>
          <w:rFonts w:ascii="Calibri" w:hAnsi="Calibri" w:cs="Calibri"/>
          <w:sz w:val="20"/>
          <w:szCs w:val="20"/>
        </w:rPr>
      </w:pPr>
    </w:p>
    <w:p w14:paraId="1DB1E1F4" w14:textId="77777777" w:rsidR="00C80217" w:rsidRDefault="00C80217" w:rsidP="00626C21">
      <w:pPr>
        <w:tabs>
          <w:tab w:val="left" w:pos="1800"/>
          <w:tab w:val="right" w:leader="dot" w:pos="8550"/>
        </w:tabs>
        <w:spacing w:after="0" w:line="228" w:lineRule="auto"/>
        <w:ind w:left="1440"/>
        <w:jc w:val="both"/>
        <w:rPr>
          <w:rFonts w:ascii="Calibri" w:hAnsi="Calibri" w:cs="Calibri"/>
          <w:sz w:val="20"/>
          <w:szCs w:val="20"/>
        </w:rPr>
      </w:pPr>
    </w:p>
    <w:p w14:paraId="08833EE6" w14:textId="4C3600AB" w:rsidR="00C80217" w:rsidRDefault="00C80217" w:rsidP="00C80217">
      <w:r>
        <w:rPr>
          <w:rFonts w:ascii="Calibri" w:hAnsi="Calibri" w:cs="Calibri"/>
          <w:sz w:val="20"/>
          <w:szCs w:val="20"/>
        </w:rPr>
        <w:tab/>
      </w:r>
      <w:r>
        <w:t xml:space="preserve"> </w:t>
      </w:r>
    </w:p>
    <w:p w14:paraId="17779003" w14:textId="2E10ACFC" w:rsidR="00C80217" w:rsidRDefault="00C80217" w:rsidP="00626C21">
      <w:pPr>
        <w:tabs>
          <w:tab w:val="left" w:pos="1800"/>
          <w:tab w:val="right" w:leader="dot" w:pos="8550"/>
        </w:tabs>
        <w:spacing w:after="0" w:line="228" w:lineRule="auto"/>
        <w:ind w:left="1440"/>
        <w:jc w:val="both"/>
        <w:rPr>
          <w:rFonts w:ascii="Calibri" w:hAnsi="Calibri" w:cs="Calibri"/>
          <w:sz w:val="20"/>
          <w:szCs w:val="20"/>
        </w:rPr>
      </w:pPr>
    </w:p>
    <w:p w14:paraId="4A32CC1E" w14:textId="77777777" w:rsidR="00C80217" w:rsidRPr="00A21739" w:rsidRDefault="00C80217" w:rsidP="00626C21">
      <w:pPr>
        <w:tabs>
          <w:tab w:val="left" w:pos="1800"/>
          <w:tab w:val="right" w:leader="dot" w:pos="8550"/>
        </w:tabs>
        <w:spacing w:after="0" w:line="228" w:lineRule="auto"/>
        <w:ind w:left="1440"/>
        <w:jc w:val="both"/>
        <w:rPr>
          <w:rFonts w:ascii="Calibri" w:hAnsi="Calibri" w:cs="Calibri"/>
          <w:sz w:val="20"/>
          <w:szCs w:val="20"/>
        </w:rPr>
      </w:pPr>
    </w:p>
    <w:p w14:paraId="139A548A" w14:textId="77777777" w:rsidR="00CE62D7" w:rsidRDefault="00CE62D7" w:rsidP="002C68F5">
      <w:pPr>
        <w:tabs>
          <w:tab w:val="left" w:pos="1800"/>
          <w:tab w:val="right" w:leader="dot" w:pos="8550"/>
        </w:tabs>
        <w:spacing w:line="228" w:lineRule="auto"/>
        <w:ind w:left="1440"/>
        <w:jc w:val="both"/>
        <w:rPr>
          <w:rFonts w:ascii="Calibri" w:hAnsi="Calibri" w:cs="Calibri"/>
          <w:sz w:val="20"/>
          <w:szCs w:val="20"/>
        </w:rPr>
      </w:pPr>
    </w:p>
    <w:p w14:paraId="5AF2C635" w14:textId="0185242A" w:rsidR="00116194" w:rsidRPr="00116194" w:rsidRDefault="00116194">
      <w:pPr>
        <w:rPr>
          <w:rFonts w:ascii="Cambria" w:hAnsi="Cambria"/>
          <w:bCs/>
          <w:color w:val="C00000"/>
          <w:sz w:val="36"/>
          <w:szCs w:val="36"/>
        </w:rPr>
      </w:pPr>
    </w:p>
    <w:p w14:paraId="6488D8D6" w14:textId="46F5BB3A" w:rsidR="007D04DF" w:rsidRPr="00116194" w:rsidRDefault="007A1795" w:rsidP="00B23BCB">
      <w:pPr>
        <w:rPr>
          <w:rFonts w:cstheme="minorHAnsi"/>
          <w:sz w:val="20"/>
          <w:szCs w:val="20"/>
        </w:rPr>
      </w:pPr>
      <w:r w:rsidRPr="00116194">
        <w:rPr>
          <w:rFonts w:cstheme="minorHAnsi"/>
          <w:sz w:val="20"/>
          <w:szCs w:val="20"/>
        </w:rPr>
        <w:lastRenderedPageBreak/>
        <w:t xml:space="preserve">  </w:t>
      </w:r>
    </w:p>
    <w:p w14:paraId="0680A8D6" w14:textId="24C2E7BC" w:rsidR="00116194" w:rsidRDefault="00F806D3">
      <w:pPr>
        <w:rPr>
          <w:b/>
          <w:color w:val="C00000"/>
          <w:sz w:val="28"/>
          <w:szCs w:val="28"/>
        </w:rPr>
      </w:pPr>
      <w:r>
        <w:rPr>
          <w:b/>
          <w:noProof/>
          <w:color w:val="C00000"/>
          <w:sz w:val="28"/>
          <w:szCs w:val="28"/>
        </w:rPr>
        <w:drawing>
          <wp:anchor distT="0" distB="0" distL="114300" distR="114300" simplePos="0" relativeHeight="251664384" behindDoc="1" locked="0" layoutInCell="1" allowOverlap="1" wp14:anchorId="3B51515A" wp14:editId="499E7624">
            <wp:simplePos x="0" y="0"/>
            <wp:positionH relativeFrom="column">
              <wp:posOffset>1247775</wp:posOffset>
            </wp:positionH>
            <wp:positionV relativeFrom="paragraph">
              <wp:posOffset>2407285</wp:posOffset>
            </wp:positionV>
            <wp:extent cx="4816475" cy="2809610"/>
            <wp:effectExtent l="133350" t="133350" r="136525" b="1244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6475" cy="2809610"/>
                    </a:xfrm>
                    <a:prstGeom prst="rect">
                      <a:avLst/>
                    </a:prstGeom>
                    <a:effectLst>
                      <a:glow rad="127000">
                        <a:srgbClr val="C00000">
                          <a:alpha val="52000"/>
                        </a:srgbClr>
                      </a:glow>
                    </a:effectLst>
                  </pic:spPr>
                </pic:pic>
              </a:graphicData>
            </a:graphic>
            <wp14:sizeRelH relativeFrom="margin">
              <wp14:pctWidth>0</wp14:pctWidth>
            </wp14:sizeRelH>
            <wp14:sizeRelV relativeFrom="margin">
              <wp14:pctHeight>0</wp14:pctHeight>
            </wp14:sizeRelV>
          </wp:anchor>
        </w:drawing>
      </w:r>
      <w:r w:rsidRPr="00116194">
        <w:rPr>
          <w:rFonts w:cstheme="minorHAnsi"/>
          <w:noProof/>
          <w:sz w:val="20"/>
          <w:szCs w:val="20"/>
        </w:rPr>
        <mc:AlternateContent>
          <mc:Choice Requires="wps">
            <w:drawing>
              <wp:anchor distT="45720" distB="45720" distL="114300" distR="114300" simplePos="0" relativeHeight="251663360" behindDoc="0" locked="0" layoutInCell="1" allowOverlap="1" wp14:anchorId="19EF3BD4" wp14:editId="12028AF6">
                <wp:simplePos x="0" y="0"/>
                <wp:positionH relativeFrom="margin">
                  <wp:posOffset>-123825</wp:posOffset>
                </wp:positionH>
                <wp:positionV relativeFrom="paragraph">
                  <wp:posOffset>111760</wp:posOffset>
                </wp:positionV>
                <wp:extent cx="5495925" cy="239077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390775"/>
                        </a:xfrm>
                        <a:prstGeom prst="rect">
                          <a:avLst/>
                        </a:prstGeom>
                        <a:solidFill>
                          <a:srgbClr val="FFFFFF"/>
                        </a:solidFill>
                        <a:ln w="47625">
                          <a:solidFill>
                            <a:srgbClr val="C00000"/>
                          </a:solidFill>
                          <a:miter lim="800000"/>
                          <a:headEnd/>
                          <a:tailEnd/>
                        </a:ln>
                      </wps:spPr>
                      <wps:txbx>
                        <w:txbxContent>
                          <w:p w14:paraId="2007FCD7" w14:textId="04EB0317" w:rsidR="00116194" w:rsidRPr="00116194" w:rsidRDefault="00116194" w:rsidP="00116194">
                            <w:pPr>
                              <w:rPr>
                                <w:rFonts w:ascii="Cambria" w:hAnsi="Cambria" w:cstheme="minorHAnsi"/>
                                <w:color w:val="C00000"/>
                                <w:sz w:val="36"/>
                                <w:szCs w:val="36"/>
                              </w:rPr>
                            </w:pPr>
                            <w:r w:rsidRPr="00116194">
                              <w:rPr>
                                <w:rFonts w:ascii="Cambria" w:hAnsi="Cambria" w:cstheme="minorHAnsi"/>
                                <w:color w:val="C00000"/>
                                <w:sz w:val="36"/>
                                <w:szCs w:val="36"/>
                              </w:rPr>
                              <w:t>Office of Research Compliance, Integrity, and Safety</w:t>
                            </w:r>
                          </w:p>
                          <w:p w14:paraId="36FA6608" w14:textId="77777777" w:rsidR="00116194" w:rsidRDefault="00116194" w:rsidP="00116194">
                            <w:pPr>
                              <w:rPr>
                                <w:rFonts w:cstheme="minorHAnsi"/>
                                <w:sz w:val="20"/>
                                <w:szCs w:val="20"/>
                              </w:rPr>
                            </w:pPr>
                          </w:p>
                          <w:p w14:paraId="6A2DBC1A" w14:textId="77777777" w:rsidR="00E24E61" w:rsidRPr="00F806D3" w:rsidRDefault="00E24E61" w:rsidP="00E24E61">
                            <w:r w:rsidRPr="00F806D3">
                              <w:t xml:space="preserve">The Office of Research Compliance, Integrity, and Safety (ORCIS) at NIU helps researchers and the University as a whole, achieve and maintain ethical principles and maintain compliance with federal, state and university regulations governing research.  In FY21 ORCIS contributed to the NIU community in a meaningful and dedicated manner.  The compliance boards handled 915 applications, and approximately 2205 individuals took online training. As NIU’s research portfolio continues to grow ORCIS is adapting to best serve our outstanding faculty and student researchers.  </w:t>
                            </w:r>
                          </w:p>
                          <w:p w14:paraId="1660177B" w14:textId="4C72C649" w:rsidR="00116194" w:rsidRPr="00116194" w:rsidRDefault="00116194" w:rsidP="00116194">
                            <w:pPr>
                              <w:rPr>
                                <w:rFonts w:cstheme="minorHAnsi"/>
                                <w:sz w:val="20"/>
                                <w:szCs w:val="20"/>
                              </w:rPr>
                            </w:pPr>
                          </w:p>
                          <w:p w14:paraId="7963EE5A" w14:textId="03D2AB3B" w:rsidR="00116194" w:rsidRDefault="0011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F3BD4" id="_x0000_t202" coordsize="21600,21600" o:spt="202" path="m,l,21600r21600,l21600,xe">
                <v:stroke joinstyle="miter"/>
                <v:path gradientshapeok="t" o:connecttype="rect"/>
              </v:shapetype>
              <v:shape id="Text Box 2" o:spid="_x0000_s1026" type="#_x0000_t202" style="position:absolute;margin-left:-9.75pt;margin-top:8.8pt;width:432.75pt;height:18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" strokecolor="#c00000" strokeweight="3.75pt">
                <v:textbox>
                  <w:txbxContent>
                    <w:p w14:paraId="2007FCD7" w14:textId="04EB0317" w:rsidR="00116194" w:rsidRPr="00116194" w:rsidRDefault="00116194" w:rsidP="00116194">
                      <w:pPr>
                        <w:rPr>
                          <w:rFonts w:ascii="Cambria" w:hAnsi="Cambria" w:cstheme="minorHAnsi"/>
                          <w:color w:val="C00000"/>
                          <w:sz w:val="36"/>
                          <w:szCs w:val="36"/>
                        </w:rPr>
                      </w:pPr>
                      <w:r w:rsidRPr="00116194">
                        <w:rPr>
                          <w:rFonts w:ascii="Cambria" w:hAnsi="Cambria" w:cstheme="minorHAnsi"/>
                          <w:color w:val="C00000"/>
                          <w:sz w:val="36"/>
                          <w:szCs w:val="36"/>
                        </w:rPr>
                        <w:t>Office of Research Compliance, Integrity, and Safety</w:t>
                      </w:r>
                    </w:p>
                    <w:p w14:paraId="36FA6608" w14:textId="77777777" w:rsidR="00116194" w:rsidRDefault="00116194" w:rsidP="00116194">
                      <w:pPr>
                        <w:rPr>
                          <w:rFonts w:cstheme="minorHAnsi"/>
                          <w:sz w:val="20"/>
                          <w:szCs w:val="20"/>
                        </w:rPr>
                      </w:pPr>
                    </w:p>
                    <w:p w14:paraId="6A2DBC1A" w14:textId="77777777" w:rsidR="00E24E61" w:rsidRPr="00F806D3" w:rsidRDefault="00E24E61" w:rsidP="00E24E61">
                      <w:r w:rsidRPr="00F806D3">
                        <w:t xml:space="preserve">The Office of Research Compliance, Integrity, and Safety (ORCIS) at NIU helps researchers and the University as a whole, achieve and maintain ethical principles and maintain compliance with federal, state and university regulations governing research.  In FY21 ORCIS contributed to the NIU community in a meaningful and dedicated manner.  The compliance boards handled 915 applications, and approximately 2205 individuals took online training. As NIU’s research portfolio continues to grow ORCIS is adapting to best serve our outstanding faculty and student researchers.  </w:t>
                      </w:r>
                    </w:p>
                    <w:p w14:paraId="1660177B" w14:textId="4C72C649" w:rsidR="00116194" w:rsidRPr="00116194" w:rsidRDefault="00116194" w:rsidP="00116194">
                      <w:pPr>
                        <w:rPr>
                          <w:rFonts w:cstheme="minorHAnsi"/>
                          <w:sz w:val="20"/>
                          <w:szCs w:val="20"/>
                        </w:rPr>
                      </w:pPr>
                    </w:p>
                    <w:p w14:paraId="7963EE5A" w14:textId="03D2AB3B" w:rsidR="00116194" w:rsidRDefault="00116194"/>
                  </w:txbxContent>
                </v:textbox>
                <w10:wrap type="square" anchorx="margin"/>
              </v:shape>
            </w:pict>
          </mc:Fallback>
        </mc:AlternateContent>
      </w:r>
      <w:r w:rsidR="00116194">
        <w:rPr>
          <w:b/>
          <w:color w:val="C00000"/>
          <w:sz w:val="28"/>
          <w:szCs w:val="28"/>
        </w:rPr>
        <w:br w:type="page"/>
      </w:r>
    </w:p>
    <w:p w14:paraId="34F86E37" w14:textId="77777777" w:rsidR="00116194" w:rsidRDefault="00116194">
      <w:pPr>
        <w:rPr>
          <w:b/>
          <w:color w:val="C00000"/>
          <w:sz w:val="28"/>
          <w:szCs w:val="28"/>
        </w:rPr>
      </w:pPr>
    </w:p>
    <w:p w14:paraId="50E2A6C2" w14:textId="3476F550" w:rsidR="00B23BCB" w:rsidRPr="004545A3" w:rsidRDefault="00B23BCB" w:rsidP="00B23BCB">
      <w:pPr>
        <w:rPr>
          <w:rFonts w:ascii="Cambria" w:hAnsi="Cambria"/>
          <w:bCs/>
          <w:color w:val="C00000"/>
          <w:sz w:val="144"/>
          <w:szCs w:val="144"/>
        </w:rPr>
      </w:pPr>
      <w:r w:rsidRPr="004545A3">
        <w:rPr>
          <w:rFonts w:ascii="Cambria" w:hAnsi="Cambria"/>
          <w:bCs/>
          <w:color w:val="C00000"/>
          <w:sz w:val="144"/>
          <w:szCs w:val="144"/>
        </w:rPr>
        <w:t>C</w:t>
      </w:r>
      <w:r w:rsidR="00B732BF">
        <w:rPr>
          <w:rFonts w:ascii="Cambria" w:hAnsi="Cambria"/>
          <w:bCs/>
          <w:color w:val="C00000"/>
          <w:sz w:val="144"/>
          <w:szCs w:val="144"/>
        </w:rPr>
        <w:t>OMPLIANCE</w:t>
      </w:r>
    </w:p>
    <w:p w14:paraId="658DE2D7" w14:textId="02BB37C3" w:rsidR="00B23BCB" w:rsidRDefault="00B23BCB" w:rsidP="00B23BCB">
      <w:r>
        <w:t xml:space="preserve">  </w:t>
      </w:r>
    </w:p>
    <w:p w14:paraId="1BD0DFF7" w14:textId="6356F70C" w:rsidR="00B513B7" w:rsidRDefault="004545A3">
      <w:pPr>
        <w:rPr>
          <w:b/>
          <w:sz w:val="28"/>
          <w:szCs w:val="28"/>
        </w:rPr>
      </w:pPr>
      <w:r>
        <w:rPr>
          <w:noProof/>
        </w:rPr>
        <mc:AlternateContent>
          <mc:Choice Requires="wps">
            <w:drawing>
              <wp:anchor distT="45720" distB="45720" distL="114300" distR="114300" simplePos="0" relativeHeight="251666432" behindDoc="0" locked="0" layoutInCell="1" allowOverlap="1" wp14:anchorId="60A3291A" wp14:editId="22DB6E63">
                <wp:simplePos x="0" y="0"/>
                <wp:positionH relativeFrom="column">
                  <wp:posOffset>981075</wp:posOffset>
                </wp:positionH>
                <wp:positionV relativeFrom="paragraph">
                  <wp:posOffset>634365</wp:posOffset>
                </wp:positionV>
                <wp:extent cx="5019675" cy="2562225"/>
                <wp:effectExtent l="133350" t="133350" r="161925" b="1619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562225"/>
                        </a:xfrm>
                        <a:prstGeom prst="rect">
                          <a:avLst/>
                        </a:prstGeom>
                        <a:solidFill>
                          <a:schemeClr val="bg2">
                            <a:lumMod val="75000"/>
                          </a:schemeClr>
                        </a:solidFill>
                        <a:ln w="9525">
                          <a:solidFill>
                            <a:schemeClr val="bg2">
                              <a:lumMod val="50000"/>
                            </a:schemeClr>
                          </a:solidFill>
                          <a:miter lim="800000"/>
                          <a:headEnd/>
                          <a:tailEnd/>
                        </a:ln>
                        <a:effectLst>
                          <a:glow rad="127000">
                            <a:srgbClr val="C00000">
                              <a:alpha val="53000"/>
                            </a:srgbClr>
                          </a:glow>
                        </a:effectLst>
                      </wps:spPr>
                      <wps:txbx>
                        <w:txbxContent>
                          <w:p w14:paraId="41661C42" w14:textId="45454E7A" w:rsidR="004545A3" w:rsidRPr="004545A3" w:rsidRDefault="00E24E61" w:rsidP="004545A3">
                            <w:pPr>
                              <w:ind w:left="720"/>
                            </w:pPr>
                            <w:r>
                              <w:t xml:space="preserve">Compliance aspects of ORCIS are managed by Dr. Patricia Wallace, the Research Compliance Coordinator, and Lene Scherer, the Research Compliance Analyst.  The two work together and are primarily responsible for human </w:t>
                            </w:r>
                            <w:proofErr w:type="gramStart"/>
                            <w:r>
                              <w:t>subjects</w:t>
                            </w:r>
                            <w:proofErr w:type="gramEnd"/>
                            <w:r>
                              <w:t xml:space="preserve"> research and animal research.  Biosafety research falls into the compliance category as well but will be addressed in the safety portion of this report.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A3291A" id="_x0000_s1027" type="#_x0000_t202" style="position:absolute;margin-left:77.25pt;margin-top:49.95pt;width:395.25pt;height:20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" fillcolor="#aeaaaa [2414]" strokecolor="#747070 [1614]">
                <v:textbox>
                  <w:txbxContent>
                    <w:p w14:paraId="41661C42" w14:textId="45454E7A" w:rsidR="004545A3" w:rsidRPr="004545A3" w:rsidRDefault="00E24E61" w:rsidP="004545A3">
                      <w:pPr>
                        <w:ind w:left="720"/>
                      </w:pPr>
                      <w:r>
                        <w:t xml:space="preserve">Compliance aspects of ORCIS are managed by Dr. Patricia Wallace, the Research Compliance Coordinator, and Lene Scherer, the Research Compliance Analyst.  The two work together and are primarily responsible for human </w:t>
                      </w:r>
                      <w:proofErr w:type="gramStart"/>
                      <w:r>
                        <w:t>subjects</w:t>
                      </w:r>
                      <w:proofErr w:type="gramEnd"/>
                      <w:r>
                        <w:t xml:space="preserve"> research and animal research.  Biosafety research falls into the compliance category as well but will be addressed in the safety portion of this report.  </w:t>
                      </w:r>
                    </w:p>
                  </w:txbxContent>
                </v:textbox>
                <w10:wrap type="square"/>
              </v:shape>
            </w:pict>
          </mc:Fallback>
        </mc:AlternateContent>
      </w:r>
      <w:r w:rsidR="00B513B7">
        <w:rPr>
          <w:b/>
          <w:sz w:val="28"/>
          <w:szCs w:val="28"/>
        </w:rPr>
        <w:br w:type="page"/>
      </w:r>
    </w:p>
    <w:p w14:paraId="482DF3DE" w14:textId="5E93F4F4" w:rsidR="00B23BCB" w:rsidRPr="00731198" w:rsidRDefault="001C2FC7" w:rsidP="00B23BCB">
      <w:pPr>
        <w:rPr>
          <w:rFonts w:ascii="Cambria" w:hAnsi="Cambria"/>
          <w:bCs/>
          <w:color w:val="C00000"/>
          <w:sz w:val="36"/>
          <w:szCs w:val="36"/>
        </w:rPr>
      </w:pPr>
      <w:r>
        <w:rPr>
          <w:rFonts w:ascii="Cambria" w:hAnsi="Cambria"/>
          <w:bCs/>
          <w:color w:val="C00000"/>
          <w:sz w:val="36"/>
          <w:szCs w:val="36"/>
        </w:rPr>
        <w:lastRenderedPageBreak/>
        <w:t>HUMAN SUBJECTS RESEARCH</w:t>
      </w:r>
    </w:p>
    <w:p w14:paraId="25F15E39" w14:textId="1DAF74FB" w:rsidR="00B23BCB" w:rsidRPr="00400582" w:rsidRDefault="009B31B1" w:rsidP="00B23BCB">
      <w:r>
        <w:rPr>
          <w:b/>
        </w:rPr>
        <w:t>APPLICATIONS</w:t>
      </w:r>
      <w:r w:rsidR="00B23BCB">
        <w:rPr>
          <w:b/>
        </w:rPr>
        <w:t xml:space="preserve"> </w:t>
      </w:r>
    </w:p>
    <w:p w14:paraId="3B088F5F" w14:textId="77777777" w:rsidR="0049076C" w:rsidRDefault="0049076C" w:rsidP="0049076C">
      <w:r>
        <w:t xml:space="preserve">In FY21, the Compliance group assisted with 832 unique submissions to the Institutional Review Board (IRB), which deals with human </w:t>
      </w:r>
      <w:proofErr w:type="gramStart"/>
      <w:r>
        <w:t>subjects</w:t>
      </w:r>
      <w:proofErr w:type="gramEnd"/>
      <w:r>
        <w:t xml:space="preserve"> research. Of these, 335 were considered initial submissions, 172 were continuations of existing records, 184 were amendments to existing records, and 141 were final reports (to close a protocol record).  The breakdown is as follows: </w:t>
      </w:r>
    </w:p>
    <w:p w14:paraId="37B86AA1" w14:textId="5991EBEC" w:rsidR="00B23BCB" w:rsidRDefault="00C56156" w:rsidP="00B23BCB">
      <w:r>
        <w:rPr>
          <w:noProof/>
        </w:rPr>
        <w:drawing>
          <wp:inline distT="0" distB="0" distL="0" distR="0" wp14:anchorId="54137921" wp14:editId="7350D19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DF65A0" w14:textId="6EE67903" w:rsidR="00B23BCB" w:rsidRDefault="00B23BCB" w:rsidP="00B23BCB">
      <w:pPr>
        <w:pStyle w:val="ListParagraph"/>
        <w:numPr>
          <w:ilvl w:val="0"/>
          <w:numId w:val="12"/>
        </w:numPr>
      </w:pPr>
      <w:r>
        <w:t>Initial Submissions</w:t>
      </w:r>
      <w:r w:rsidR="007431BE">
        <w:t xml:space="preserve"> (New proposals) </w:t>
      </w:r>
    </w:p>
    <w:p w14:paraId="68179982" w14:textId="43BBC573" w:rsidR="00E24E61" w:rsidRPr="00571087" w:rsidRDefault="00B23BCB" w:rsidP="00E24E61">
      <w:pPr>
        <w:pStyle w:val="ListParagraph"/>
        <w:numPr>
          <w:ilvl w:val="1"/>
          <w:numId w:val="12"/>
        </w:numPr>
      </w:pPr>
      <w:r w:rsidRPr="00571087">
        <w:t>Exempt: 1</w:t>
      </w:r>
      <w:r w:rsidR="00E24E61">
        <w:t>11</w:t>
      </w:r>
    </w:p>
    <w:p w14:paraId="5D6BD9F4" w14:textId="3B4FFF53" w:rsidR="00B23BCB" w:rsidRPr="00571087" w:rsidRDefault="00B23BCB" w:rsidP="00B23BCB">
      <w:pPr>
        <w:pStyle w:val="ListParagraph"/>
        <w:numPr>
          <w:ilvl w:val="1"/>
          <w:numId w:val="12"/>
        </w:numPr>
      </w:pPr>
      <w:r w:rsidRPr="00571087">
        <w:t>Expedited: 1</w:t>
      </w:r>
      <w:r w:rsidR="00E24E61">
        <w:t>82</w:t>
      </w:r>
    </w:p>
    <w:p w14:paraId="0D955BF5" w14:textId="1311A311" w:rsidR="00B23BCB" w:rsidRPr="00571087" w:rsidRDefault="00B23BCB" w:rsidP="00B23BCB">
      <w:pPr>
        <w:pStyle w:val="ListParagraph"/>
        <w:numPr>
          <w:ilvl w:val="1"/>
          <w:numId w:val="12"/>
        </w:numPr>
      </w:pPr>
      <w:r w:rsidRPr="00571087">
        <w:t>Full Board: 1</w:t>
      </w:r>
      <w:r w:rsidR="00E24E61">
        <w:t>1</w:t>
      </w:r>
    </w:p>
    <w:p w14:paraId="35F57236" w14:textId="0780892B" w:rsidR="00B23BCB" w:rsidRDefault="00B23BCB" w:rsidP="00B23BCB">
      <w:pPr>
        <w:pStyle w:val="ListParagraph"/>
        <w:numPr>
          <w:ilvl w:val="1"/>
          <w:numId w:val="12"/>
        </w:numPr>
      </w:pPr>
      <w:r>
        <w:t xml:space="preserve">Collaborative Agreements: </w:t>
      </w:r>
      <w:r w:rsidR="00E24E61">
        <w:t>13</w:t>
      </w:r>
    </w:p>
    <w:p w14:paraId="242B61E7" w14:textId="25008031" w:rsidR="00B23BCB" w:rsidRPr="00726D71" w:rsidRDefault="00B23BCB" w:rsidP="00B23BCB">
      <w:pPr>
        <w:pStyle w:val="ListParagraph"/>
        <w:numPr>
          <w:ilvl w:val="1"/>
          <w:numId w:val="12"/>
        </w:numPr>
      </w:pPr>
      <w:r>
        <w:t xml:space="preserve">Screening Forms: </w:t>
      </w:r>
      <w:r w:rsidR="00E24E61">
        <w:t>18</w:t>
      </w:r>
    </w:p>
    <w:p w14:paraId="2F579E0E" w14:textId="245A324F" w:rsidR="00B23BCB" w:rsidRDefault="00B23BCB" w:rsidP="00B23BCB">
      <w:pPr>
        <w:pStyle w:val="ListParagraph"/>
        <w:numPr>
          <w:ilvl w:val="0"/>
          <w:numId w:val="12"/>
        </w:numPr>
      </w:pPr>
      <w:r>
        <w:t>Continuation Submissions</w:t>
      </w:r>
      <w:r w:rsidR="007431BE">
        <w:t xml:space="preserve"> (Proposals that require additional time) </w:t>
      </w:r>
    </w:p>
    <w:p w14:paraId="4F574F55" w14:textId="77777777" w:rsidR="00B23BCB" w:rsidRPr="00571087" w:rsidRDefault="00B23BCB" w:rsidP="00B23BCB">
      <w:pPr>
        <w:pStyle w:val="ListParagraph"/>
        <w:numPr>
          <w:ilvl w:val="1"/>
          <w:numId w:val="12"/>
        </w:numPr>
      </w:pPr>
      <w:r w:rsidRPr="00571087">
        <w:t>Administrative Review: 185</w:t>
      </w:r>
    </w:p>
    <w:p w14:paraId="638B5E52" w14:textId="77777777" w:rsidR="00B23BCB" w:rsidRPr="00571087" w:rsidRDefault="00B23BCB" w:rsidP="00B23BCB">
      <w:pPr>
        <w:pStyle w:val="ListParagraph"/>
        <w:numPr>
          <w:ilvl w:val="1"/>
          <w:numId w:val="12"/>
        </w:numPr>
      </w:pPr>
      <w:r w:rsidRPr="00571087">
        <w:t>Member Review: 10</w:t>
      </w:r>
    </w:p>
    <w:p w14:paraId="74AE65F3" w14:textId="77777777" w:rsidR="00B23BCB" w:rsidRPr="00571087" w:rsidRDefault="00B23BCB" w:rsidP="00B23BCB">
      <w:pPr>
        <w:pStyle w:val="ListParagraph"/>
        <w:numPr>
          <w:ilvl w:val="1"/>
          <w:numId w:val="12"/>
        </w:numPr>
      </w:pPr>
      <w:r w:rsidRPr="00571087">
        <w:t>Full Board Review: 11</w:t>
      </w:r>
    </w:p>
    <w:p w14:paraId="618A0646" w14:textId="0D436268" w:rsidR="00B23BCB" w:rsidRDefault="00B23BCB" w:rsidP="00B23BCB">
      <w:pPr>
        <w:pStyle w:val="ListParagraph"/>
        <w:numPr>
          <w:ilvl w:val="0"/>
          <w:numId w:val="12"/>
        </w:numPr>
      </w:pPr>
      <w:r w:rsidRPr="00726D71">
        <w:t>Amendment</w:t>
      </w:r>
      <w:r>
        <w:t xml:space="preserve"> Submissions</w:t>
      </w:r>
      <w:r w:rsidR="007431BE">
        <w:t xml:space="preserve"> (Proposals with changes) </w:t>
      </w:r>
    </w:p>
    <w:p w14:paraId="071F93F5" w14:textId="77777777" w:rsidR="00B23BCB" w:rsidRPr="00571087" w:rsidRDefault="00B23BCB" w:rsidP="00B23BCB">
      <w:pPr>
        <w:pStyle w:val="ListParagraph"/>
        <w:numPr>
          <w:ilvl w:val="1"/>
          <w:numId w:val="12"/>
        </w:numPr>
      </w:pPr>
      <w:r w:rsidRPr="00571087">
        <w:t>Administrative Review: 96</w:t>
      </w:r>
    </w:p>
    <w:p w14:paraId="617BE063" w14:textId="77777777" w:rsidR="00B23BCB" w:rsidRPr="00571087" w:rsidRDefault="00B23BCB" w:rsidP="00B23BCB">
      <w:pPr>
        <w:pStyle w:val="ListParagraph"/>
        <w:numPr>
          <w:ilvl w:val="1"/>
          <w:numId w:val="12"/>
        </w:numPr>
      </w:pPr>
      <w:r w:rsidRPr="00571087">
        <w:t>Member Review: 112</w:t>
      </w:r>
    </w:p>
    <w:p w14:paraId="685C339E" w14:textId="77777777" w:rsidR="00B23BCB" w:rsidRPr="00571087" w:rsidRDefault="00B23BCB" w:rsidP="00B23BCB">
      <w:pPr>
        <w:pStyle w:val="ListParagraph"/>
        <w:numPr>
          <w:ilvl w:val="1"/>
          <w:numId w:val="12"/>
        </w:numPr>
      </w:pPr>
      <w:r w:rsidRPr="00571087">
        <w:t>Full Board Review: 5</w:t>
      </w:r>
    </w:p>
    <w:p w14:paraId="619F8A1D" w14:textId="77777777" w:rsidR="0049076C" w:rsidRDefault="0049076C" w:rsidP="0049076C">
      <w:pPr>
        <w:pStyle w:val="ListParagraph"/>
        <w:numPr>
          <w:ilvl w:val="0"/>
          <w:numId w:val="12"/>
        </w:numPr>
      </w:pPr>
      <w:r>
        <w:t xml:space="preserve">The applicants are a mixture of faculty, graduate students, and undergraduate students.  Every submission is analyzed and sorted into the proper review category by the staff.  Notices of expiration dates and required renewals are also monitored and sent out.  </w:t>
      </w:r>
    </w:p>
    <w:p w14:paraId="6470BB62" w14:textId="77777777" w:rsidR="00E85612" w:rsidRDefault="00E85612" w:rsidP="00B23BCB">
      <w:pPr>
        <w:rPr>
          <w:rFonts w:cstheme="minorHAnsi"/>
          <w:b/>
        </w:rPr>
      </w:pPr>
    </w:p>
    <w:p w14:paraId="2822C069" w14:textId="77777777" w:rsidR="00E85612" w:rsidRDefault="00E85612" w:rsidP="00B23BCB">
      <w:pPr>
        <w:rPr>
          <w:rFonts w:cstheme="minorHAnsi"/>
          <w:b/>
        </w:rPr>
      </w:pPr>
    </w:p>
    <w:p w14:paraId="239A3B8C" w14:textId="53D18687" w:rsidR="00B23BCB" w:rsidRPr="00731198" w:rsidRDefault="009B31B1" w:rsidP="00B23BCB">
      <w:pPr>
        <w:rPr>
          <w:rFonts w:cstheme="minorHAnsi"/>
          <w:b/>
        </w:rPr>
      </w:pPr>
      <w:r>
        <w:rPr>
          <w:rFonts w:cstheme="minorHAnsi"/>
          <w:b/>
        </w:rPr>
        <w:t>TRAINING</w:t>
      </w:r>
    </w:p>
    <w:p w14:paraId="6EE5E641" w14:textId="64653225" w:rsidR="00730C46" w:rsidRDefault="00730C46" w:rsidP="00B23BCB">
      <w:r>
        <w:rPr>
          <w:noProof/>
        </w:rPr>
        <w:drawing>
          <wp:anchor distT="0" distB="0" distL="114300" distR="114300" simplePos="0" relativeHeight="251667456" behindDoc="0" locked="0" layoutInCell="1" allowOverlap="1" wp14:anchorId="1E90725D" wp14:editId="082751B3">
            <wp:simplePos x="0" y="0"/>
            <wp:positionH relativeFrom="column">
              <wp:posOffset>-635</wp:posOffset>
            </wp:positionH>
            <wp:positionV relativeFrom="paragraph">
              <wp:posOffset>238125</wp:posOffset>
            </wp:positionV>
            <wp:extent cx="5895975" cy="3200400"/>
            <wp:effectExtent l="0" t="0" r="9525"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B23BCB">
        <w:t>In FY2</w:t>
      </w:r>
      <w:r w:rsidR="0049076C">
        <w:t>1,</w:t>
      </w:r>
      <w:r w:rsidR="00B23BCB">
        <w:t xml:space="preserve"> the compliance office offered approximately </w:t>
      </w:r>
      <w:r w:rsidR="0049076C">
        <w:t>13</w:t>
      </w:r>
      <w:r w:rsidR="00B23BCB">
        <w:t xml:space="preserve"> training sessions.  </w:t>
      </w:r>
    </w:p>
    <w:p w14:paraId="74212A34" w14:textId="308ABDC6" w:rsidR="00730C46" w:rsidRDefault="00730C46" w:rsidP="00730C46"/>
    <w:p w14:paraId="209C12F8" w14:textId="357DDDE0" w:rsidR="00730C46" w:rsidRDefault="00730C46" w:rsidP="00730C46">
      <w:r>
        <w:t>The breakdown is as follows:</w:t>
      </w:r>
    </w:p>
    <w:p w14:paraId="04D3764C" w14:textId="77777777" w:rsidR="0049076C" w:rsidRDefault="0049076C" w:rsidP="0049076C">
      <w:pPr>
        <w:pStyle w:val="ListParagraph"/>
        <w:numPr>
          <w:ilvl w:val="0"/>
          <w:numId w:val="13"/>
        </w:numPr>
      </w:pPr>
      <w:r>
        <w:t>Authorized Departmental Reviewer (ADR) trainings</w:t>
      </w:r>
    </w:p>
    <w:p w14:paraId="3F6DEA12" w14:textId="77777777" w:rsidR="0049076C" w:rsidRDefault="0049076C" w:rsidP="0049076C">
      <w:pPr>
        <w:pStyle w:val="ListParagraph"/>
        <w:numPr>
          <w:ilvl w:val="1"/>
          <w:numId w:val="13"/>
        </w:numPr>
      </w:pPr>
      <w:r>
        <w:t>General sessions (online recording): 1</w:t>
      </w:r>
    </w:p>
    <w:p w14:paraId="76B991AC" w14:textId="77777777" w:rsidR="0049076C" w:rsidRDefault="0049076C" w:rsidP="0049076C">
      <w:pPr>
        <w:pStyle w:val="ListParagraph"/>
        <w:numPr>
          <w:ilvl w:val="1"/>
          <w:numId w:val="13"/>
        </w:numPr>
      </w:pPr>
      <w:r>
        <w:t>Individual sessions: 0</w:t>
      </w:r>
    </w:p>
    <w:p w14:paraId="48166B38" w14:textId="77777777" w:rsidR="0049076C" w:rsidRDefault="0049076C" w:rsidP="0049076C">
      <w:pPr>
        <w:pStyle w:val="ListParagraph"/>
        <w:numPr>
          <w:ilvl w:val="1"/>
          <w:numId w:val="13"/>
        </w:numPr>
      </w:pPr>
      <w:r>
        <w:t>Department Sessions: 0</w:t>
      </w:r>
    </w:p>
    <w:p w14:paraId="1F1C2760" w14:textId="77777777" w:rsidR="0049076C" w:rsidRDefault="0049076C" w:rsidP="0049076C">
      <w:pPr>
        <w:pStyle w:val="ListParagraph"/>
        <w:numPr>
          <w:ilvl w:val="1"/>
          <w:numId w:val="13"/>
        </w:numPr>
      </w:pPr>
      <w:r>
        <w:t>Total trained:  Approximately 100</w:t>
      </w:r>
    </w:p>
    <w:p w14:paraId="161F5429" w14:textId="77777777" w:rsidR="0049076C" w:rsidRDefault="0049076C" w:rsidP="0049076C">
      <w:pPr>
        <w:pStyle w:val="ListParagraph"/>
        <w:numPr>
          <w:ilvl w:val="0"/>
          <w:numId w:val="13"/>
        </w:numPr>
      </w:pPr>
      <w:r>
        <w:t xml:space="preserve">In-Person in class trainings </w:t>
      </w:r>
    </w:p>
    <w:p w14:paraId="4AEC6AE8" w14:textId="77777777" w:rsidR="0049076C" w:rsidRDefault="0049076C" w:rsidP="0049076C">
      <w:pPr>
        <w:pStyle w:val="ListParagraph"/>
        <w:numPr>
          <w:ilvl w:val="1"/>
          <w:numId w:val="13"/>
        </w:numPr>
      </w:pPr>
      <w:r>
        <w:t>Classroom trainings: 0</w:t>
      </w:r>
    </w:p>
    <w:p w14:paraId="6ACE2118" w14:textId="77777777" w:rsidR="0049076C" w:rsidRDefault="0049076C" w:rsidP="0049076C">
      <w:pPr>
        <w:pStyle w:val="ListParagraph"/>
        <w:numPr>
          <w:ilvl w:val="1"/>
          <w:numId w:val="13"/>
        </w:numPr>
      </w:pPr>
      <w:r>
        <w:t>Total trained:  0</w:t>
      </w:r>
    </w:p>
    <w:p w14:paraId="00D87542" w14:textId="77777777" w:rsidR="0049076C" w:rsidRDefault="0049076C" w:rsidP="0049076C">
      <w:pPr>
        <w:pStyle w:val="ListParagraph"/>
        <w:numPr>
          <w:ilvl w:val="0"/>
          <w:numId w:val="13"/>
        </w:numPr>
      </w:pPr>
      <w:r>
        <w:t>Online custom presentations</w:t>
      </w:r>
    </w:p>
    <w:p w14:paraId="0B1708DF" w14:textId="77777777" w:rsidR="0049076C" w:rsidRDefault="0049076C" w:rsidP="0049076C">
      <w:pPr>
        <w:pStyle w:val="ListParagraph"/>
        <w:numPr>
          <w:ilvl w:val="1"/>
          <w:numId w:val="13"/>
        </w:numPr>
      </w:pPr>
      <w:r>
        <w:t>Virtual classes:  11</w:t>
      </w:r>
    </w:p>
    <w:p w14:paraId="0DBC06B8" w14:textId="77777777" w:rsidR="0049076C" w:rsidRDefault="0049076C" w:rsidP="0049076C">
      <w:pPr>
        <w:pStyle w:val="ListParagraph"/>
        <w:numPr>
          <w:ilvl w:val="1"/>
          <w:numId w:val="13"/>
        </w:numPr>
      </w:pPr>
      <w:r>
        <w:t xml:space="preserve">Total trained:  Approximate 250 </w:t>
      </w:r>
    </w:p>
    <w:p w14:paraId="015A6633" w14:textId="77777777" w:rsidR="0049076C" w:rsidRDefault="0049076C" w:rsidP="0049076C">
      <w:pPr>
        <w:pStyle w:val="ListParagraph"/>
        <w:numPr>
          <w:ilvl w:val="0"/>
          <w:numId w:val="13"/>
        </w:numPr>
      </w:pPr>
      <w:r>
        <w:t>New IRB Member trainings:  1</w:t>
      </w:r>
    </w:p>
    <w:p w14:paraId="040F67D8" w14:textId="77777777" w:rsidR="0049076C" w:rsidRDefault="0049076C" w:rsidP="0049076C">
      <w:pPr>
        <w:pStyle w:val="ListParagraph"/>
        <w:numPr>
          <w:ilvl w:val="0"/>
          <w:numId w:val="13"/>
        </w:numPr>
      </w:pPr>
      <w:r>
        <w:t>Citi Online trainings</w:t>
      </w:r>
    </w:p>
    <w:p w14:paraId="5E0F72DE" w14:textId="77777777" w:rsidR="0049076C" w:rsidRDefault="0049076C" w:rsidP="0049076C">
      <w:pPr>
        <w:pStyle w:val="ListParagraph"/>
        <w:numPr>
          <w:ilvl w:val="1"/>
          <w:numId w:val="13"/>
        </w:numPr>
      </w:pPr>
      <w:r>
        <w:t>IRB Member training: 51</w:t>
      </w:r>
    </w:p>
    <w:p w14:paraId="11B68E7B" w14:textId="77777777" w:rsidR="0049076C" w:rsidRPr="00D027F1" w:rsidRDefault="0049076C" w:rsidP="0049076C">
      <w:pPr>
        <w:pStyle w:val="ListParagraph"/>
        <w:numPr>
          <w:ilvl w:val="1"/>
          <w:numId w:val="13"/>
        </w:numPr>
      </w:pPr>
      <w:r>
        <w:t>Initial/Refresher IRB training: 827</w:t>
      </w:r>
    </w:p>
    <w:p w14:paraId="0BF2DA8B" w14:textId="77777777" w:rsidR="00730C46" w:rsidRDefault="00730C46">
      <w:pPr>
        <w:rPr>
          <w:b/>
        </w:rPr>
      </w:pPr>
      <w:r>
        <w:rPr>
          <w:b/>
        </w:rPr>
        <w:br w:type="page"/>
      </w:r>
    </w:p>
    <w:p w14:paraId="03A29408" w14:textId="77777777" w:rsidR="00E85612" w:rsidRDefault="00E85612" w:rsidP="00B23BCB">
      <w:pPr>
        <w:rPr>
          <w:rFonts w:cstheme="minorHAnsi"/>
          <w:b/>
          <w:color w:val="000000" w:themeColor="text1"/>
        </w:rPr>
      </w:pPr>
    </w:p>
    <w:p w14:paraId="67A8C672" w14:textId="128B4353" w:rsidR="00B23BCB" w:rsidRPr="009B31B1" w:rsidRDefault="009B31B1" w:rsidP="00B23BCB">
      <w:pPr>
        <w:rPr>
          <w:rFonts w:cstheme="minorHAnsi"/>
          <w:b/>
          <w:color w:val="000000" w:themeColor="text1"/>
        </w:rPr>
      </w:pPr>
      <w:r w:rsidRPr="009B31B1">
        <w:rPr>
          <w:rFonts w:cstheme="minorHAnsi"/>
          <w:b/>
          <w:color w:val="000000" w:themeColor="text1"/>
        </w:rPr>
        <w:t>ELECTRONIC SUBMISSIONS</w:t>
      </w:r>
    </w:p>
    <w:p w14:paraId="331F8CA2" w14:textId="77777777" w:rsidR="0049076C" w:rsidRDefault="0049076C" w:rsidP="0049076C">
      <w:r>
        <w:t xml:space="preserve">At the start of FY21, the Compliance Office had just moved the IRB application process to an online system.  Throughout the year, the office provided documents, small online sessions, and individualized training to help users navigate the new system. Several brief videos were created and added to the website to help users with specific components of the submission process.  </w:t>
      </w:r>
    </w:p>
    <w:p w14:paraId="1C8AC3EE" w14:textId="77777777" w:rsidR="00E85612" w:rsidRDefault="00E85612" w:rsidP="00B23BCB">
      <w:pPr>
        <w:rPr>
          <w:rFonts w:cstheme="minorHAnsi"/>
          <w:b/>
          <w:color w:val="000000" w:themeColor="text1"/>
        </w:rPr>
      </w:pPr>
    </w:p>
    <w:p w14:paraId="240D1B8D" w14:textId="583C4E0A" w:rsidR="00B23BCB" w:rsidRPr="009B31B1" w:rsidRDefault="00B23BCB" w:rsidP="00B23BCB">
      <w:pPr>
        <w:rPr>
          <w:rFonts w:cstheme="minorHAnsi"/>
          <w:b/>
          <w:color w:val="000000" w:themeColor="text1"/>
        </w:rPr>
      </w:pPr>
      <w:r w:rsidRPr="009B31B1">
        <w:rPr>
          <w:rFonts w:cstheme="minorHAnsi"/>
          <w:b/>
          <w:color w:val="000000" w:themeColor="text1"/>
        </w:rPr>
        <w:t>C</w:t>
      </w:r>
      <w:r w:rsidR="009B31B1">
        <w:rPr>
          <w:rFonts w:cstheme="minorHAnsi"/>
          <w:b/>
          <w:color w:val="000000" w:themeColor="text1"/>
        </w:rPr>
        <w:t>OVID</w:t>
      </w:r>
      <w:r w:rsidRPr="009B31B1">
        <w:rPr>
          <w:rFonts w:cstheme="minorHAnsi"/>
          <w:b/>
          <w:color w:val="000000" w:themeColor="text1"/>
        </w:rPr>
        <w:t>-19 E</w:t>
      </w:r>
      <w:r w:rsidR="009B31B1">
        <w:rPr>
          <w:rFonts w:cstheme="minorHAnsi"/>
          <w:b/>
          <w:color w:val="000000" w:themeColor="text1"/>
        </w:rPr>
        <w:t>FFORTS</w:t>
      </w:r>
    </w:p>
    <w:p w14:paraId="01DAF3C8" w14:textId="77777777" w:rsidR="0049076C" w:rsidRDefault="0049076C" w:rsidP="0049076C">
      <w:r>
        <w:t xml:space="preserve">Due to the pandemic, all face-to-face research was stopped during much of FY21.  The Compliance team created guidance for the transition of face-to-face research to online research.  When restrictions were lifted, they also provided guidance on resuming protocols and an online application for that process. Twenty-eight researchers submitted requests to conduct face-to-face data collection using guidance provided by RIPS.  </w:t>
      </w:r>
    </w:p>
    <w:p w14:paraId="4F4CEB38" w14:textId="77777777" w:rsidR="00E85612" w:rsidRDefault="00E85612" w:rsidP="00B23BCB">
      <w:pPr>
        <w:rPr>
          <w:rFonts w:cstheme="minorHAnsi"/>
          <w:b/>
          <w:color w:val="000000" w:themeColor="text1"/>
        </w:rPr>
      </w:pPr>
    </w:p>
    <w:p w14:paraId="4977E4A4" w14:textId="0F15B852" w:rsidR="00B23BCB" w:rsidRPr="009B31B1" w:rsidRDefault="009B31B1" w:rsidP="00B23BCB">
      <w:pPr>
        <w:rPr>
          <w:rFonts w:cstheme="minorHAnsi"/>
          <w:b/>
          <w:color w:val="000000" w:themeColor="text1"/>
        </w:rPr>
      </w:pPr>
      <w:r w:rsidRPr="009B31B1">
        <w:rPr>
          <w:rFonts w:cstheme="minorHAnsi"/>
          <w:b/>
          <w:color w:val="000000" w:themeColor="text1"/>
        </w:rPr>
        <w:t>PAYMENT UPDATES</w:t>
      </w:r>
    </w:p>
    <w:p w14:paraId="0A0AE24B" w14:textId="77777777" w:rsidR="0049076C" w:rsidRDefault="0049076C" w:rsidP="0049076C">
      <w:r>
        <w:t xml:space="preserve">ORCIS completed the process of updating the policy regarding research participant payments in FY21.  The final draft of the policy was submitted to the policy library at the end of FY21. The updated policy provides more detailed information about the process of paying research participants including special circumstances, such as anonymous data collection and returning unused funds. In addition, efforts were made to amend the types of payments that could be reimbursed through university funds. The updated policy allows for reimbursement of gift card payments in addition to cash and electronic payments.   </w:t>
      </w:r>
    </w:p>
    <w:p w14:paraId="7AEE653A" w14:textId="77777777" w:rsidR="00E85612" w:rsidRDefault="00E85612" w:rsidP="00B23BCB">
      <w:pPr>
        <w:rPr>
          <w:rFonts w:cstheme="minorHAnsi"/>
          <w:b/>
          <w:color w:val="000000" w:themeColor="text1"/>
        </w:rPr>
      </w:pPr>
    </w:p>
    <w:p w14:paraId="0DD4AB5B" w14:textId="145B1C71" w:rsidR="0049076C" w:rsidRPr="00761AC9" w:rsidRDefault="0049076C" w:rsidP="0049076C">
      <w:pPr>
        <w:rPr>
          <w:b/>
          <w:bCs/>
        </w:rPr>
      </w:pPr>
      <w:r>
        <w:rPr>
          <w:b/>
          <w:bCs/>
        </w:rPr>
        <w:t>EXTERNAL RESEARCH PROCEDURE</w:t>
      </w:r>
    </w:p>
    <w:p w14:paraId="32BE8426" w14:textId="77777777" w:rsidR="0049076C" w:rsidRDefault="0049076C" w:rsidP="0049076C">
      <w:r>
        <w:t>In consultation with legal counsel, ORCIS is working on creating guidance to help external researchers who are seeking permission to access NIU students, staff, or faculty to serve as research participants. Between 5 and 10 requests are made each year, so clear guidance will be helpful for the external researchers and for any NIU contacts attempting to assist the external researchers.</w:t>
      </w:r>
    </w:p>
    <w:p w14:paraId="09406F81" w14:textId="77777777" w:rsidR="0049076C" w:rsidRDefault="0049076C" w:rsidP="00B23BCB">
      <w:pPr>
        <w:rPr>
          <w:rFonts w:cstheme="minorHAnsi"/>
          <w:b/>
          <w:color w:val="000000" w:themeColor="text1"/>
        </w:rPr>
      </w:pPr>
    </w:p>
    <w:p w14:paraId="771BDF84" w14:textId="6EC4A6D0" w:rsidR="00B23BCB" w:rsidRPr="009B31B1" w:rsidRDefault="009B31B1" w:rsidP="00B23BCB">
      <w:pPr>
        <w:rPr>
          <w:rFonts w:cstheme="minorHAnsi"/>
          <w:b/>
          <w:color w:val="000000" w:themeColor="text1"/>
        </w:rPr>
      </w:pPr>
      <w:r w:rsidRPr="009B31B1">
        <w:rPr>
          <w:rFonts w:cstheme="minorHAnsi"/>
          <w:b/>
          <w:color w:val="000000" w:themeColor="text1"/>
        </w:rPr>
        <w:t>PROFESSIONAL DEVELOPMENT</w:t>
      </w:r>
    </w:p>
    <w:p w14:paraId="7FB570BC" w14:textId="77777777" w:rsidR="0049076C" w:rsidRDefault="0049076C" w:rsidP="0049076C">
      <w:r>
        <w:t xml:space="preserve">In FY21 the Compliance Coordinator attended </w:t>
      </w:r>
      <w:r w:rsidRPr="00726D71">
        <w:t xml:space="preserve">the </w:t>
      </w:r>
      <w:r>
        <w:t>virtual Compliance and Law Track of the Society for Research Administrators Annual</w:t>
      </w:r>
      <w:r w:rsidRPr="00726D71">
        <w:t xml:space="preserve"> Conference </w:t>
      </w:r>
      <w:r>
        <w:t>(Oct</w:t>
      </w:r>
      <w:r w:rsidRPr="00726D71">
        <w:t xml:space="preserve"> 20</w:t>
      </w:r>
      <w:r>
        <w:t>21</w:t>
      </w:r>
      <w:r w:rsidRPr="00726D71">
        <w:t>)</w:t>
      </w:r>
      <w:r>
        <w:t xml:space="preserve"> as well as the AAAS Science and Technology Policy Forum (October 2021).   The Compliance Coordinator also prepared for and passed the Certified IRB Professional Certification exam in April 2021 and now has the CIP credential demonstrating an advanced level of knowledge, understanding, and experience in human research administration.  </w:t>
      </w:r>
    </w:p>
    <w:p w14:paraId="4A9CCD2A" w14:textId="77777777" w:rsidR="00B513B7" w:rsidRDefault="00B513B7">
      <w:pPr>
        <w:rPr>
          <w:b/>
          <w:sz w:val="28"/>
          <w:szCs w:val="28"/>
        </w:rPr>
      </w:pPr>
      <w:r>
        <w:rPr>
          <w:b/>
          <w:sz w:val="28"/>
          <w:szCs w:val="28"/>
        </w:rPr>
        <w:br w:type="page"/>
      </w:r>
    </w:p>
    <w:p w14:paraId="68F87F87" w14:textId="795672AB" w:rsidR="00B23BCB" w:rsidRPr="00731198" w:rsidRDefault="001C2FC7" w:rsidP="00B23BCB">
      <w:pPr>
        <w:rPr>
          <w:rFonts w:ascii="Cambria" w:hAnsi="Cambria"/>
          <w:bCs/>
          <w:color w:val="C00000"/>
          <w:sz w:val="36"/>
          <w:szCs w:val="36"/>
        </w:rPr>
      </w:pPr>
      <w:r>
        <w:rPr>
          <w:rFonts w:ascii="Cambria" w:hAnsi="Cambria"/>
          <w:bCs/>
          <w:color w:val="C00000"/>
          <w:sz w:val="36"/>
          <w:szCs w:val="36"/>
        </w:rPr>
        <w:lastRenderedPageBreak/>
        <w:t>ANIMAL RESEARCH</w:t>
      </w:r>
    </w:p>
    <w:p w14:paraId="2E22FF9A" w14:textId="77777777" w:rsidR="0049076C" w:rsidRDefault="0049076C" w:rsidP="0049076C">
      <w:r>
        <w:rPr>
          <w:b/>
        </w:rPr>
        <w:t>Submissions</w:t>
      </w:r>
    </w:p>
    <w:p w14:paraId="0FB479B6" w14:textId="77777777" w:rsidR="0049076C" w:rsidRDefault="0049076C" w:rsidP="0049076C">
      <w:r>
        <w:t>ORCIS houses the Institutional Animal Care and Use Committee (IACUC) which approves animal research preformed at NIU. This year the IACUC saw 54 unique submissions. The breakdown is as follows:</w:t>
      </w:r>
    </w:p>
    <w:p w14:paraId="033471D1" w14:textId="6C4A8F87" w:rsidR="00B23BCB" w:rsidRDefault="00575FB5" w:rsidP="00B23BCB">
      <w:r>
        <w:rPr>
          <w:noProof/>
        </w:rPr>
        <w:drawing>
          <wp:inline distT="0" distB="0" distL="0" distR="0" wp14:anchorId="03712D0D" wp14:editId="6B8EDB4A">
            <wp:extent cx="6162675" cy="22860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23BCB">
        <w:t>The breakdown is as follows:</w:t>
      </w:r>
    </w:p>
    <w:p w14:paraId="0DFF1C38" w14:textId="59177FDA" w:rsidR="00B23BCB" w:rsidRDefault="00B23BCB" w:rsidP="00B23BCB">
      <w:pPr>
        <w:pStyle w:val="ListParagraph"/>
        <w:numPr>
          <w:ilvl w:val="0"/>
          <w:numId w:val="14"/>
        </w:numPr>
      </w:pPr>
      <w:r>
        <w:t xml:space="preserve">Initial Applications: </w:t>
      </w:r>
      <w:r w:rsidR="0049076C">
        <w:t>6</w:t>
      </w:r>
    </w:p>
    <w:p w14:paraId="0EEA5A27" w14:textId="77777777" w:rsidR="00B23BCB" w:rsidRDefault="00B23BCB" w:rsidP="00B23BCB">
      <w:pPr>
        <w:pStyle w:val="ListParagraph"/>
        <w:numPr>
          <w:ilvl w:val="0"/>
          <w:numId w:val="14"/>
        </w:numPr>
      </w:pPr>
      <w:r>
        <w:t>Continuations: 22</w:t>
      </w:r>
    </w:p>
    <w:p w14:paraId="4F91516D" w14:textId="77777777" w:rsidR="00B23BCB" w:rsidRDefault="00B23BCB" w:rsidP="00B23BCB">
      <w:pPr>
        <w:pStyle w:val="ListParagraph"/>
        <w:numPr>
          <w:ilvl w:val="0"/>
          <w:numId w:val="14"/>
        </w:numPr>
      </w:pPr>
      <w:r>
        <w:t>Triennials: 7</w:t>
      </w:r>
    </w:p>
    <w:p w14:paraId="14ED9279" w14:textId="48C1FBFE" w:rsidR="00B23BCB" w:rsidRDefault="00B23BCB" w:rsidP="00B23BCB">
      <w:pPr>
        <w:pStyle w:val="ListParagraph"/>
        <w:numPr>
          <w:ilvl w:val="0"/>
          <w:numId w:val="14"/>
        </w:numPr>
      </w:pPr>
      <w:r>
        <w:t>Amendments: 1</w:t>
      </w:r>
      <w:r w:rsidR="0049076C">
        <w:t>2</w:t>
      </w:r>
    </w:p>
    <w:p w14:paraId="7918F78E" w14:textId="192389DA" w:rsidR="00B23BCB" w:rsidRDefault="00B23BCB" w:rsidP="00B23BCB">
      <w:pPr>
        <w:pStyle w:val="ListParagraph"/>
        <w:numPr>
          <w:ilvl w:val="0"/>
          <w:numId w:val="14"/>
        </w:numPr>
      </w:pPr>
      <w:r>
        <w:t xml:space="preserve">Final Reports: </w:t>
      </w:r>
      <w:r w:rsidR="0049076C">
        <w:t>7</w:t>
      </w:r>
    </w:p>
    <w:p w14:paraId="751C4424" w14:textId="77777777" w:rsidR="0049076C" w:rsidRDefault="0049076C" w:rsidP="0049076C">
      <w:r>
        <w:t xml:space="preserve">Applicants are mainly faculty members.  NIU has two animal laboratories where most of this research is preformed; however, eleven of the protocols are for field animal research.  ORCIS analyzes and processes every application.  They also provided notice of all expirations and required renewals.  </w:t>
      </w:r>
    </w:p>
    <w:p w14:paraId="63374622" w14:textId="78C20DF8" w:rsidR="00B23BCB" w:rsidRDefault="00A832AF" w:rsidP="00B23BCB">
      <w:pPr>
        <w:rPr>
          <w:b/>
        </w:rPr>
      </w:pPr>
      <w:r>
        <w:rPr>
          <w:b/>
        </w:rPr>
        <w:t>INSPECTIONS</w:t>
      </w:r>
    </w:p>
    <w:p w14:paraId="5BD8886E" w14:textId="77777777" w:rsidR="0049076C" w:rsidRDefault="0049076C" w:rsidP="0049076C">
      <w:r>
        <w:t xml:space="preserve">The USDA preforms one un-scheduled inspection yearly.  ORCIS assists the inspector by providing </w:t>
      </w:r>
      <w:proofErr w:type="gramStart"/>
      <w:r>
        <w:t>all of</w:t>
      </w:r>
      <w:proofErr w:type="gramEnd"/>
      <w:r>
        <w:t xml:space="preserve"> the files, touring the facilities, and answering questions.  The IACUC also preforms two semi-annual inspections.  </w:t>
      </w:r>
    </w:p>
    <w:p w14:paraId="5E2543C0" w14:textId="31578058" w:rsidR="00B23BCB" w:rsidRDefault="00A832AF" w:rsidP="00B23BCB">
      <w:r>
        <w:rPr>
          <w:b/>
        </w:rPr>
        <w:t>REPORTING</w:t>
      </w:r>
    </w:p>
    <w:p w14:paraId="74F16338" w14:textId="77777777" w:rsidR="0049076C" w:rsidRDefault="0049076C" w:rsidP="0049076C">
      <w:r>
        <w:t xml:space="preserve">ORCIS is responsible for all required animal reporting, this includes filing papers with the DEA, USDA, FDA, and our OLAW assurance.  </w:t>
      </w:r>
    </w:p>
    <w:p w14:paraId="08734668" w14:textId="77777777" w:rsidR="00E85612" w:rsidRDefault="00E85612">
      <w:pPr>
        <w:rPr>
          <w:b/>
        </w:rPr>
      </w:pPr>
      <w:r>
        <w:rPr>
          <w:b/>
        </w:rPr>
        <w:br w:type="page"/>
      </w:r>
    </w:p>
    <w:p w14:paraId="756B4057" w14:textId="26AE5157" w:rsidR="00B23BCB" w:rsidRDefault="00A832AF" w:rsidP="00B23BCB">
      <w:r>
        <w:rPr>
          <w:b/>
        </w:rPr>
        <w:lastRenderedPageBreak/>
        <w:t>TRAINING</w:t>
      </w:r>
    </w:p>
    <w:p w14:paraId="23E46AAE" w14:textId="77777777" w:rsidR="00AC2ED2" w:rsidRDefault="00AC2ED2" w:rsidP="00AC2ED2">
      <w:r>
        <w:t>In FY21 ORCIS offered a variety of annual training options to fulfill the training requirements of animal researchers and the members of the IACUC.  Researchers are expected to participate in online CITI Training.  The breakdown is as follows:</w:t>
      </w:r>
    </w:p>
    <w:p w14:paraId="0CDD4924" w14:textId="77777777" w:rsidR="00AC2ED2" w:rsidRPr="00FB7005" w:rsidRDefault="00AC2ED2" w:rsidP="00AC2ED2">
      <w:pPr>
        <w:pStyle w:val="ListParagraph"/>
        <w:numPr>
          <w:ilvl w:val="0"/>
          <w:numId w:val="15"/>
        </w:numPr>
      </w:pPr>
      <w:r w:rsidRPr="00FB7005">
        <w:t>IACUC annual member training: 7</w:t>
      </w:r>
    </w:p>
    <w:p w14:paraId="204B98D6" w14:textId="77777777" w:rsidR="00AC2ED2" w:rsidRPr="00FB7005" w:rsidRDefault="00AC2ED2" w:rsidP="00AC2ED2">
      <w:pPr>
        <w:pStyle w:val="ListParagraph"/>
        <w:numPr>
          <w:ilvl w:val="0"/>
          <w:numId w:val="15"/>
        </w:numPr>
      </w:pPr>
      <w:r w:rsidRPr="00FB7005">
        <w:t>Online C</w:t>
      </w:r>
      <w:r>
        <w:t>ITI</w:t>
      </w:r>
      <w:r w:rsidRPr="00FB7005">
        <w:t xml:space="preserve"> trainings completed: 18 </w:t>
      </w:r>
    </w:p>
    <w:p w14:paraId="0F330A69" w14:textId="77777777" w:rsidR="00AC2ED2" w:rsidRPr="00FB7005" w:rsidRDefault="00AC2ED2" w:rsidP="00AC2ED2">
      <w:pPr>
        <w:pStyle w:val="ListParagraph"/>
        <w:numPr>
          <w:ilvl w:val="0"/>
          <w:numId w:val="15"/>
        </w:numPr>
      </w:pPr>
      <w:r w:rsidRPr="00FB7005">
        <w:t>Annual training online session: 16</w:t>
      </w:r>
    </w:p>
    <w:p w14:paraId="122C1D51" w14:textId="0E523D65" w:rsidR="00B23BCB" w:rsidRDefault="00B23BCB" w:rsidP="00B23BCB">
      <w:r>
        <w:rPr>
          <w:b/>
        </w:rPr>
        <w:t xml:space="preserve">FOIA </w:t>
      </w:r>
      <w:r w:rsidR="00A832AF">
        <w:rPr>
          <w:b/>
        </w:rPr>
        <w:t>ASSISTANCE</w:t>
      </w:r>
    </w:p>
    <w:p w14:paraId="1E6AA25D" w14:textId="77777777" w:rsidR="00AC2ED2" w:rsidRDefault="00AC2ED2" w:rsidP="00AC2ED2">
      <w:r w:rsidRPr="00FB7005">
        <w:t xml:space="preserve">NIU received </w:t>
      </w:r>
      <w:r>
        <w:t>one</w:t>
      </w:r>
      <w:r w:rsidRPr="00FB7005">
        <w:t xml:space="preserve"> FOIA requests involving animal research, most were for records that ORCIS houses.  We worked with General Counsel, the researchers, and the FOIA department at NIU to respond to these requests as required by law.</w:t>
      </w:r>
      <w:r>
        <w:t xml:space="preserve">  </w:t>
      </w:r>
    </w:p>
    <w:p w14:paraId="4780F275" w14:textId="77777777" w:rsidR="00B513B7" w:rsidRDefault="00B513B7">
      <w:r>
        <w:br w:type="page"/>
      </w:r>
    </w:p>
    <w:p w14:paraId="75B51625" w14:textId="36BF5160" w:rsidR="00805858" w:rsidRPr="00731198" w:rsidRDefault="001C2FC7">
      <w:pPr>
        <w:rPr>
          <w:rFonts w:ascii="Cambria" w:hAnsi="Cambria"/>
          <w:bCs/>
          <w:color w:val="C00000"/>
          <w:sz w:val="36"/>
          <w:szCs w:val="36"/>
        </w:rPr>
      </w:pPr>
      <w:r>
        <w:rPr>
          <w:rFonts w:ascii="Cambria" w:hAnsi="Cambria"/>
          <w:bCs/>
          <w:color w:val="C00000"/>
          <w:sz w:val="36"/>
          <w:szCs w:val="36"/>
        </w:rPr>
        <w:lastRenderedPageBreak/>
        <w:t>RESEARCH INTEGRITY</w:t>
      </w:r>
    </w:p>
    <w:p w14:paraId="131C20EF" w14:textId="77777777" w:rsidR="00AC2ED2" w:rsidRDefault="00AC2ED2" w:rsidP="00AC2ED2">
      <w:r>
        <w:t xml:space="preserve">ORCIS responsibilities for research integrity involves several different topics.  ORCIS responsibilities evolve as new requirements regarding research arise from the federal government and other agencies.   Shannon Stoker, Director of ORCIS, is responsible for research integrity policies and policy implementation.  </w:t>
      </w:r>
    </w:p>
    <w:p w14:paraId="58F72CB8" w14:textId="1A8C41E1" w:rsidR="00805858" w:rsidRDefault="00A87E9C">
      <w:pPr>
        <w:rPr>
          <w:b/>
        </w:rPr>
      </w:pPr>
      <w:r>
        <w:rPr>
          <w:b/>
        </w:rPr>
        <w:t>EXPORT CONTROL</w:t>
      </w:r>
    </w:p>
    <w:p w14:paraId="3235EB25" w14:textId="77777777" w:rsidR="00AC2ED2" w:rsidRPr="008145CA" w:rsidRDefault="00AC2ED2" w:rsidP="00AC2ED2">
      <w:pPr>
        <w:rPr>
          <w:rFonts w:cstheme="minorHAnsi"/>
          <w:color w:val="333333"/>
          <w:shd w:val="clear" w:color="auto" w:fill="FFFFFF"/>
        </w:rPr>
      </w:pPr>
      <w:r>
        <w:rPr>
          <w:rFonts w:cstheme="minorHAnsi"/>
          <w:color w:val="333333"/>
          <w:shd w:val="clear" w:color="auto" w:fill="FFFFFF"/>
        </w:rPr>
        <w:t>Federal e</w:t>
      </w:r>
      <w:r w:rsidRPr="008145CA">
        <w:rPr>
          <w:rFonts w:cstheme="minorHAnsi"/>
          <w:color w:val="333333"/>
          <w:shd w:val="clear" w:color="auto" w:fill="FFFFFF"/>
        </w:rPr>
        <w:t xml:space="preserve">xport control regulations </w:t>
      </w:r>
      <w:r>
        <w:rPr>
          <w:rFonts w:cstheme="minorHAnsi"/>
          <w:color w:val="333333"/>
          <w:shd w:val="clear" w:color="auto" w:fill="FFFFFF"/>
        </w:rPr>
        <w:t>pertain to</w:t>
      </w:r>
      <w:r w:rsidRPr="008145CA">
        <w:rPr>
          <w:rFonts w:cstheme="minorHAnsi"/>
          <w:color w:val="333333"/>
          <w:shd w:val="clear" w:color="auto" w:fill="FFFFFF"/>
        </w:rPr>
        <w:t xml:space="preserve"> the export, transfer or transmission of certain commodities, software, </w:t>
      </w:r>
      <w:proofErr w:type="gramStart"/>
      <w:r w:rsidRPr="008145CA">
        <w:rPr>
          <w:rFonts w:cstheme="minorHAnsi"/>
          <w:color w:val="333333"/>
          <w:shd w:val="clear" w:color="auto" w:fill="FFFFFF"/>
        </w:rPr>
        <w:t>technology</w:t>
      </w:r>
      <w:proofErr w:type="gramEnd"/>
      <w:r w:rsidRPr="008145CA">
        <w:rPr>
          <w:rFonts w:cstheme="minorHAnsi"/>
          <w:color w:val="333333"/>
          <w:shd w:val="clear" w:color="auto" w:fill="FFFFFF"/>
        </w:rPr>
        <w:t xml:space="preserve"> and technical information from the United States to foreign destination</w:t>
      </w:r>
      <w:r>
        <w:rPr>
          <w:rFonts w:cstheme="minorHAnsi"/>
          <w:color w:val="333333"/>
          <w:shd w:val="clear" w:color="auto" w:fill="FFFFFF"/>
        </w:rPr>
        <w:t>s</w:t>
      </w:r>
      <w:r w:rsidRPr="008145CA">
        <w:rPr>
          <w:rFonts w:cstheme="minorHAnsi"/>
          <w:color w:val="333333"/>
          <w:shd w:val="clear" w:color="auto" w:fill="FFFFFF"/>
        </w:rPr>
        <w:t xml:space="preserve"> or to foreign nationals on U.S. soil.</w:t>
      </w:r>
    </w:p>
    <w:p w14:paraId="598AA69C" w14:textId="77777777" w:rsidR="00AC2ED2" w:rsidRDefault="00AC2ED2" w:rsidP="00AC2ED2">
      <w:pPr>
        <w:rPr>
          <w:rFonts w:cstheme="minorHAnsi"/>
          <w:color w:val="333333"/>
          <w:shd w:val="clear" w:color="auto" w:fill="FFFFFF"/>
        </w:rPr>
      </w:pPr>
      <w:r>
        <w:rPr>
          <w:rFonts w:cstheme="minorHAnsi"/>
          <w:color w:val="333333"/>
          <w:shd w:val="clear" w:color="auto" w:fill="FFFFFF"/>
        </w:rPr>
        <w:t xml:space="preserve">Ensuring compliance involves several activities, including screening individuals against denied parties lists, assisting faculty and staff who wish to travel abroad specifically if they carry NIU property, and assessing situations involving federal funding and nationalities.  </w:t>
      </w:r>
    </w:p>
    <w:p w14:paraId="2FAFC700" w14:textId="3BCA5F5B" w:rsidR="008145CA" w:rsidRPr="00E956E1" w:rsidRDefault="008145CA">
      <w:pPr>
        <w:rPr>
          <w:rFonts w:cstheme="minorHAnsi"/>
          <w:b/>
          <w:bCs/>
          <w:color w:val="333333"/>
          <w:shd w:val="clear" w:color="auto" w:fill="FFFFFF"/>
        </w:rPr>
      </w:pPr>
      <w:r w:rsidRPr="00E956E1">
        <w:rPr>
          <w:rFonts w:cstheme="minorHAnsi"/>
          <w:b/>
          <w:bCs/>
          <w:color w:val="333333"/>
          <w:shd w:val="clear" w:color="auto" w:fill="FFFFFF"/>
        </w:rPr>
        <w:t>In FY2</w:t>
      </w:r>
      <w:r w:rsidR="00AC2ED2">
        <w:rPr>
          <w:rFonts w:cstheme="minorHAnsi"/>
          <w:b/>
          <w:bCs/>
          <w:color w:val="333333"/>
          <w:shd w:val="clear" w:color="auto" w:fill="FFFFFF"/>
        </w:rPr>
        <w:t>1</w:t>
      </w:r>
      <w:r w:rsidRPr="00E956E1">
        <w:rPr>
          <w:rFonts w:cstheme="minorHAnsi"/>
          <w:b/>
          <w:bCs/>
          <w:color w:val="333333"/>
          <w:shd w:val="clear" w:color="auto" w:fill="FFFFFF"/>
        </w:rPr>
        <w:t>:</w:t>
      </w:r>
    </w:p>
    <w:p w14:paraId="76ACD858" w14:textId="473519B2" w:rsidR="00E956E1" w:rsidRDefault="00E956E1">
      <w:pPr>
        <w:rPr>
          <w:rFonts w:cstheme="minorHAnsi"/>
          <w:color w:val="333333"/>
          <w:shd w:val="clear" w:color="auto" w:fill="FFFFFF"/>
        </w:rPr>
      </w:pPr>
      <w:r>
        <w:rPr>
          <w:rFonts w:cstheme="minorHAnsi"/>
          <w:noProof/>
          <w:color w:val="333333"/>
          <w:shd w:val="clear" w:color="auto" w:fill="FFFFFF"/>
        </w:rPr>
        <w:drawing>
          <wp:inline distT="0" distB="0" distL="0" distR="0" wp14:anchorId="5B2797D5" wp14:editId="7F46DAD2">
            <wp:extent cx="5972175" cy="3200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17E416" w14:textId="77777777" w:rsidR="00AC2ED2" w:rsidRDefault="00AC2ED2" w:rsidP="00AC2ED2">
      <w:pPr>
        <w:pStyle w:val="ListParagraph"/>
        <w:numPr>
          <w:ilvl w:val="0"/>
          <w:numId w:val="2"/>
        </w:numPr>
        <w:rPr>
          <w:rFonts w:cstheme="minorHAnsi"/>
          <w:color w:val="333333"/>
          <w:shd w:val="clear" w:color="auto" w:fill="FFFFFF"/>
        </w:rPr>
      </w:pPr>
      <w:r>
        <w:rPr>
          <w:rFonts w:cstheme="minorHAnsi"/>
          <w:color w:val="333333"/>
          <w:shd w:val="clear" w:color="auto" w:fill="FFFFFF"/>
        </w:rPr>
        <w:t>A total of 376</w:t>
      </w:r>
      <w:r w:rsidRPr="008145CA">
        <w:rPr>
          <w:rFonts w:cstheme="minorHAnsi"/>
          <w:color w:val="333333"/>
          <w:shd w:val="clear" w:color="auto" w:fill="FFFFFF"/>
        </w:rPr>
        <w:t xml:space="preserve"> </w:t>
      </w:r>
      <w:r>
        <w:rPr>
          <w:rFonts w:cstheme="minorHAnsi"/>
          <w:color w:val="333333"/>
          <w:shd w:val="clear" w:color="auto" w:fill="FFFFFF"/>
        </w:rPr>
        <w:t>people</w:t>
      </w:r>
      <w:r w:rsidRPr="008145CA">
        <w:rPr>
          <w:rFonts w:cstheme="minorHAnsi"/>
          <w:color w:val="333333"/>
          <w:shd w:val="clear" w:color="auto" w:fill="FFFFFF"/>
        </w:rPr>
        <w:t xml:space="preserve"> and companies were screened against Restricted Parties Lists</w:t>
      </w:r>
      <w:r>
        <w:rPr>
          <w:rFonts w:cstheme="minorHAnsi"/>
          <w:color w:val="333333"/>
          <w:shd w:val="clear" w:color="auto" w:fill="FFFFFF"/>
        </w:rPr>
        <w:t>, although escalation review and administration lie with ORCIS the screening is a joint effort between ORCIS, SPA, and Procurement.</w:t>
      </w:r>
    </w:p>
    <w:p w14:paraId="54960D03" w14:textId="77777777" w:rsidR="00AC2ED2" w:rsidRPr="007431BE" w:rsidRDefault="00AC2ED2" w:rsidP="00AC2ED2">
      <w:pPr>
        <w:pStyle w:val="ListParagraph"/>
        <w:numPr>
          <w:ilvl w:val="0"/>
          <w:numId w:val="2"/>
        </w:numPr>
        <w:rPr>
          <w:rFonts w:cstheme="minorHAnsi"/>
          <w:color w:val="333333"/>
          <w:shd w:val="clear" w:color="auto" w:fill="FFFFFF"/>
        </w:rPr>
      </w:pPr>
      <w:r>
        <w:rPr>
          <w:rFonts w:cstheme="minorHAnsi"/>
          <w:color w:val="333333"/>
          <w:shd w:val="clear" w:color="auto" w:fill="FFFFFF"/>
        </w:rPr>
        <w:t>48 people and companies were screened against Restricted Parties Lists in an ad-hoc scenario.  (</w:t>
      </w:r>
      <w:r w:rsidRPr="007431BE">
        <w:rPr>
          <w:rFonts w:cstheme="minorHAnsi"/>
          <w:color w:val="333333"/>
          <w:shd w:val="clear" w:color="auto" w:fill="FFFFFF"/>
        </w:rPr>
        <w:t>Partner screen</w:t>
      </w:r>
      <w:r>
        <w:rPr>
          <w:rFonts w:cstheme="minorHAnsi"/>
          <w:color w:val="333333"/>
          <w:shd w:val="clear" w:color="auto" w:fill="FFFFFF"/>
        </w:rPr>
        <w:t xml:space="preserve">ing occurs </w:t>
      </w:r>
      <w:r w:rsidRPr="007431BE">
        <w:rPr>
          <w:rFonts w:cstheme="minorHAnsi"/>
          <w:color w:val="333333"/>
          <w:shd w:val="clear" w:color="auto" w:fill="FFFFFF"/>
        </w:rPr>
        <w:t>daily; Ad hoc screen</w:t>
      </w:r>
      <w:r>
        <w:rPr>
          <w:rFonts w:cstheme="minorHAnsi"/>
          <w:color w:val="333333"/>
          <w:shd w:val="clear" w:color="auto" w:fill="FFFFFF"/>
        </w:rPr>
        <w:t>ing occurs</w:t>
      </w:r>
      <w:r w:rsidRPr="007431BE">
        <w:rPr>
          <w:rFonts w:cstheme="minorHAnsi"/>
          <w:color w:val="333333"/>
          <w:shd w:val="clear" w:color="auto" w:fill="FFFFFF"/>
        </w:rPr>
        <w:t xml:space="preserve"> o</w:t>
      </w:r>
      <w:r>
        <w:rPr>
          <w:rFonts w:cstheme="minorHAnsi"/>
          <w:color w:val="333333"/>
          <w:shd w:val="clear" w:color="auto" w:fill="FFFFFF"/>
        </w:rPr>
        <w:t>nce.)</w:t>
      </w:r>
    </w:p>
    <w:p w14:paraId="1B7E10F2" w14:textId="77777777" w:rsidR="00AC2ED2" w:rsidRDefault="00AC2ED2" w:rsidP="00AC2ED2">
      <w:pPr>
        <w:pStyle w:val="ListParagraph"/>
        <w:numPr>
          <w:ilvl w:val="0"/>
          <w:numId w:val="2"/>
        </w:numPr>
        <w:rPr>
          <w:rFonts w:cstheme="minorHAnsi"/>
          <w:color w:val="333333"/>
          <w:shd w:val="clear" w:color="auto" w:fill="FFFFFF"/>
        </w:rPr>
      </w:pPr>
      <w:r>
        <w:rPr>
          <w:rFonts w:cstheme="minorHAnsi"/>
          <w:color w:val="333333"/>
          <w:shd w:val="clear" w:color="auto" w:fill="FFFFFF"/>
        </w:rPr>
        <w:t>A total of 18 travel applications were assessed for export control concerns</w:t>
      </w:r>
    </w:p>
    <w:p w14:paraId="4E5CDA1F" w14:textId="77777777" w:rsidR="00AC2ED2" w:rsidRDefault="00AC2ED2" w:rsidP="00AC2ED2">
      <w:pPr>
        <w:pStyle w:val="ListParagraph"/>
        <w:numPr>
          <w:ilvl w:val="0"/>
          <w:numId w:val="2"/>
        </w:numPr>
        <w:rPr>
          <w:rFonts w:cstheme="minorHAnsi"/>
          <w:color w:val="333333"/>
          <w:shd w:val="clear" w:color="auto" w:fill="FFFFFF"/>
        </w:rPr>
      </w:pPr>
      <w:r>
        <w:rPr>
          <w:rFonts w:cstheme="minorHAnsi"/>
          <w:color w:val="333333"/>
          <w:shd w:val="clear" w:color="auto" w:fill="FFFFFF"/>
        </w:rPr>
        <w:t>No funding opportunities involved an export control assessment</w:t>
      </w:r>
    </w:p>
    <w:p w14:paraId="5B28B8AB" w14:textId="77777777" w:rsidR="00AC2ED2" w:rsidRPr="008145CA" w:rsidRDefault="00AC2ED2" w:rsidP="00AC2ED2">
      <w:pPr>
        <w:pStyle w:val="ListParagraph"/>
        <w:numPr>
          <w:ilvl w:val="0"/>
          <w:numId w:val="2"/>
        </w:numPr>
        <w:rPr>
          <w:shd w:val="clear" w:color="auto" w:fill="FFFFFF"/>
        </w:rPr>
      </w:pPr>
      <w:r>
        <w:rPr>
          <w:rFonts w:cstheme="minorHAnsi"/>
          <w:color w:val="333333"/>
          <w:shd w:val="clear" w:color="auto" w:fill="FFFFFF"/>
        </w:rPr>
        <w:t>Six contracts were reviewed for export control issues</w:t>
      </w:r>
    </w:p>
    <w:p w14:paraId="13357F9A" w14:textId="07E3562D" w:rsidR="007D1615" w:rsidRPr="007D1615" w:rsidRDefault="00D92E90">
      <w:r w:rsidRPr="000144A7">
        <w:rPr>
          <w:b/>
          <w:noProof/>
        </w:rPr>
        <w:lastRenderedPageBreak/>
        <mc:AlternateContent>
          <mc:Choice Requires="wps">
            <w:drawing>
              <wp:anchor distT="45720" distB="45720" distL="114300" distR="114300" simplePos="0" relativeHeight="251669504" behindDoc="0" locked="0" layoutInCell="1" allowOverlap="1" wp14:anchorId="54BA8D28" wp14:editId="1BE00BBC">
                <wp:simplePos x="0" y="0"/>
                <wp:positionH relativeFrom="column">
                  <wp:posOffset>-38100</wp:posOffset>
                </wp:positionH>
                <wp:positionV relativeFrom="paragraph">
                  <wp:posOffset>133350</wp:posOffset>
                </wp:positionV>
                <wp:extent cx="2838450" cy="2013585"/>
                <wp:effectExtent l="133350" t="133350" r="152400" b="1581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13585"/>
                        </a:xfrm>
                        <a:prstGeom prst="rect">
                          <a:avLst/>
                        </a:prstGeom>
                        <a:solidFill>
                          <a:srgbClr val="FFFFFF"/>
                        </a:solidFill>
                        <a:ln w="9525">
                          <a:solidFill>
                            <a:srgbClr val="000000"/>
                          </a:solidFill>
                          <a:miter lim="800000"/>
                          <a:headEnd/>
                          <a:tailEnd/>
                        </a:ln>
                        <a:effectLst>
                          <a:glow rad="127000">
                            <a:srgbClr val="C00000">
                              <a:alpha val="45000"/>
                            </a:srgbClr>
                          </a:glow>
                        </a:effectLst>
                      </wps:spPr>
                      <wps:txbx>
                        <w:txbxContent>
                          <w:p w14:paraId="3858C1FF" w14:textId="4E441AF9" w:rsidR="000144A7" w:rsidRPr="000144A7" w:rsidRDefault="000144A7" w:rsidP="000144A7">
                            <w:pPr>
                              <w:rPr>
                                <w14:glow w14:rad="622300">
                                  <w14:srgbClr w14:val="C00000"/>
                                </w14:glow>
                                <w14:shadow w14:blurRad="50800" w14:dist="38100" w14:dir="2700000" w14:sx="100000" w14:sy="100000" w14:kx="0" w14:ky="0" w14:algn="tl">
                                  <w14:srgbClr w14:val="C00000">
                                    <w14:alpha w14:val="60000"/>
                                  </w14:srgbClr>
                                </w14:shadow>
                              </w:rPr>
                            </w:pPr>
                            <w:r>
                              <w:rPr>
                                <w:b/>
                              </w:rPr>
                              <w:t>DATA MANAGEMENT</w:t>
                            </w:r>
                          </w:p>
                          <w:p w14:paraId="29835332" w14:textId="77777777" w:rsidR="00AC2ED2" w:rsidRPr="007D1615" w:rsidRDefault="00AC2ED2" w:rsidP="00AC2ED2">
                            <w:r>
                              <w:t>The sharing of data between organizations calls for an agreement between parties.  These agreements are screened by ORCIS and signed by the VP Research.  Three agreements were screened in FY21.</w:t>
                            </w:r>
                          </w:p>
                          <w:p w14:paraId="1727A328" w14:textId="73383487" w:rsidR="000144A7" w:rsidRDefault="00014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A8D28" id="_x0000_s1028" type="#_x0000_t202" style="position:absolute;margin-left:-3pt;margin-top:10.5pt;width:223.5pt;height:158.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">
                <v:textbox>
                  <w:txbxContent>
                    <w:p w14:paraId="3858C1FF" w14:textId="4E441AF9" w:rsidR="000144A7" w:rsidRPr="000144A7" w:rsidRDefault="000144A7" w:rsidP="000144A7">
                      <w:pPr>
                        <w:rPr>
                          <w14:glow w14:rad="622300">
                            <w14:srgbClr w14:val="C00000"/>
                          </w14:glow>
                          <w14:shadow w14:blurRad="50800" w14:dist="38100" w14:dir="2700000" w14:sx="100000" w14:sy="100000" w14:kx="0" w14:ky="0" w14:algn="tl">
                            <w14:srgbClr w14:val="C00000">
                              <w14:alpha w14:val="60000"/>
                            </w14:srgbClr>
                          </w14:shadow>
                        </w:rPr>
                      </w:pPr>
                      <w:r>
                        <w:rPr>
                          <w:b/>
                        </w:rPr>
                        <w:t>DATA MANAGEMENT</w:t>
                      </w:r>
                    </w:p>
                    <w:p w14:paraId="29835332" w14:textId="77777777" w:rsidR="00AC2ED2" w:rsidRPr="007D1615" w:rsidRDefault="00AC2ED2" w:rsidP="00AC2ED2">
                      <w:r>
                        <w:t>The sharing of data between organizations calls for an agreement between parties.  These agreements are screened by ORCIS and signed by the VP Research.  Three agreements were screened in FY21.</w:t>
                      </w:r>
                    </w:p>
                    <w:p w14:paraId="1727A328" w14:textId="73383487" w:rsidR="000144A7" w:rsidRDefault="000144A7"/>
                  </w:txbxContent>
                </v:textbox>
                <w10:wrap type="square"/>
              </v:shape>
            </w:pict>
          </mc:Fallback>
        </mc:AlternateContent>
      </w:r>
      <w:r>
        <w:rPr>
          <w:b/>
          <w:noProof/>
        </w:rPr>
        <mc:AlternateContent>
          <mc:Choice Requires="wps">
            <w:drawing>
              <wp:anchor distT="0" distB="0" distL="114300" distR="114300" simplePos="0" relativeHeight="251680768" behindDoc="0" locked="0" layoutInCell="1" allowOverlap="1" wp14:anchorId="7E9049B9" wp14:editId="7311AA55">
                <wp:simplePos x="0" y="0"/>
                <wp:positionH relativeFrom="column">
                  <wp:posOffset>1463040</wp:posOffset>
                </wp:positionH>
                <wp:positionV relativeFrom="paragraph">
                  <wp:posOffset>40005</wp:posOffset>
                </wp:positionV>
                <wp:extent cx="361950" cy="264160"/>
                <wp:effectExtent l="38100" t="19050" r="38100" b="59690"/>
                <wp:wrapNone/>
                <wp:docPr id="19" name="Straight Arrow Connector 19"/>
                <wp:cNvGraphicFramePr/>
                <a:graphic xmlns:a="http://schemas.openxmlformats.org/drawingml/2006/main">
                  <a:graphicData uri="http://schemas.microsoft.com/office/word/2010/wordprocessingShape">
                    <wps:wsp>
                      <wps:cNvCnPr/>
                      <wps:spPr>
                        <a:xfrm flipH="1">
                          <a:off x="0" y="0"/>
                          <a:ext cx="361950" cy="264160"/>
                        </a:xfrm>
                        <a:prstGeom prst="straightConnector1">
                          <a:avLst/>
                        </a:prstGeom>
                        <a:ln w="635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4B438C" id="_x0000_t32" coordsize="21600,21600" o:spt="32" o:oned="t" path="m,l21600,21600e" filled="f">
                <v:path arrowok="t" fillok="f" o:connecttype="none"/>
                <o:lock v:ext="edit" shapetype="t"/>
              </v:shapetype>
              <v:shape id="Straight Arrow Connector 19" o:spid="_x0000_s1026" type="#_x0000_t32" style="position:absolute;margin-left:115.2pt;margin-top:3.15pt;width:28.5pt;height:20.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" strokecolor="gray [1629]" strokeweight="5pt">
                <v:stroke endarrow="block" joinstyle="miter"/>
              </v:shape>
            </w:pict>
          </mc:Fallback>
        </mc:AlternateContent>
      </w:r>
    </w:p>
    <w:p w14:paraId="1A7A46D9" w14:textId="7C6D8295" w:rsidR="0074293B" w:rsidRDefault="00AC2ED2">
      <w:pPr>
        <w:rPr>
          <w:b/>
        </w:rPr>
      </w:pPr>
      <w:r>
        <w:rPr>
          <w:b/>
          <w:noProof/>
        </w:rPr>
        <mc:AlternateContent>
          <mc:Choice Requires="wps">
            <w:drawing>
              <wp:anchor distT="0" distB="0" distL="114300" distR="114300" simplePos="0" relativeHeight="251676672" behindDoc="0" locked="0" layoutInCell="1" allowOverlap="1" wp14:anchorId="3435CBC7" wp14:editId="143C484F">
                <wp:simplePos x="0" y="0"/>
                <wp:positionH relativeFrom="column">
                  <wp:posOffset>4010025</wp:posOffset>
                </wp:positionH>
                <wp:positionV relativeFrom="paragraph">
                  <wp:posOffset>4307840</wp:posOffset>
                </wp:positionV>
                <wp:extent cx="361950" cy="264160"/>
                <wp:effectExtent l="38100" t="19050" r="38100" b="59690"/>
                <wp:wrapNone/>
                <wp:docPr id="17" name="Straight Arrow Connector 17"/>
                <wp:cNvGraphicFramePr/>
                <a:graphic xmlns:a="http://schemas.openxmlformats.org/drawingml/2006/main">
                  <a:graphicData uri="http://schemas.microsoft.com/office/word/2010/wordprocessingShape">
                    <wps:wsp>
                      <wps:cNvCnPr/>
                      <wps:spPr>
                        <a:xfrm flipH="1">
                          <a:off x="0" y="0"/>
                          <a:ext cx="361950" cy="264160"/>
                        </a:xfrm>
                        <a:prstGeom prst="straightConnector1">
                          <a:avLst/>
                        </a:prstGeom>
                        <a:ln w="635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CF066" id="Straight Arrow Connector 17" o:spid="_x0000_s1026" type="#_x0000_t32" style="position:absolute;margin-left:315.75pt;margin-top:339.2pt;width:28.5pt;height:20.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" strokecolor="gray [1629]" strokeweight="5pt">
                <v:stroke endarrow="block" joinstyle="miter"/>
              </v:shape>
            </w:pict>
          </mc:Fallback>
        </mc:AlternateContent>
      </w:r>
      <w:r w:rsidRPr="000144A7">
        <w:rPr>
          <w:b/>
          <w:noProof/>
        </w:rPr>
        <mc:AlternateContent>
          <mc:Choice Requires="wps">
            <w:drawing>
              <wp:anchor distT="45720" distB="45720" distL="114300" distR="114300" simplePos="0" relativeHeight="251673600" behindDoc="0" locked="0" layoutInCell="1" allowOverlap="1" wp14:anchorId="6C7AB728" wp14:editId="48A67DE6">
                <wp:simplePos x="0" y="0"/>
                <wp:positionH relativeFrom="column">
                  <wp:posOffset>2390775</wp:posOffset>
                </wp:positionH>
                <wp:positionV relativeFrom="paragraph">
                  <wp:posOffset>4397375</wp:posOffset>
                </wp:positionV>
                <wp:extent cx="3571875" cy="3381375"/>
                <wp:effectExtent l="133350" t="133350" r="161925" b="1619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381375"/>
                        </a:xfrm>
                        <a:prstGeom prst="rect">
                          <a:avLst/>
                        </a:prstGeom>
                        <a:solidFill>
                          <a:srgbClr val="FFFFFF"/>
                        </a:solidFill>
                        <a:ln w="9525">
                          <a:solidFill>
                            <a:srgbClr val="000000"/>
                          </a:solidFill>
                          <a:miter lim="800000"/>
                          <a:headEnd/>
                          <a:tailEnd/>
                        </a:ln>
                        <a:effectLst>
                          <a:glow rad="127000">
                            <a:srgbClr val="C00000">
                              <a:alpha val="45000"/>
                            </a:srgbClr>
                          </a:glow>
                        </a:effectLst>
                      </wps:spPr>
                      <wps:txbx>
                        <w:txbxContent>
                          <w:p w14:paraId="1281C383" w14:textId="77777777" w:rsidR="000144A7" w:rsidRDefault="000144A7" w:rsidP="000144A7">
                            <w:r>
                              <w:rPr>
                                <w:b/>
                              </w:rPr>
                              <w:t>CONFLICTS OF INTEREST</w:t>
                            </w:r>
                          </w:p>
                          <w:p w14:paraId="7E05AE09" w14:textId="77777777" w:rsidR="00AC2ED2" w:rsidRDefault="00AC2ED2" w:rsidP="00AC2ED2">
                            <w:r>
                              <w:t xml:space="preserve">Institutions receiving Public Health Services (PHS) funding must monitor their Principal Investigators for possible Conflicts of Interest through a proactive policy.   In FY20 ORCIS received twelve disclosures from eleven PHS funded projects. The training is required every four years and ORCIS offers this training through the CITI online modules.  In FY21, 24 individuals took the training.  </w:t>
                            </w:r>
                          </w:p>
                          <w:p w14:paraId="3AF27BFE" w14:textId="77777777" w:rsidR="00AC2ED2" w:rsidRPr="007D1615" w:rsidRDefault="00AC2ED2" w:rsidP="00AC2ED2">
                            <w:r>
                              <w:t xml:space="preserve">In FY21 ORCIS began an overhaul of the university wide Conflicts of Interest policy.  This is a joint effort with General Counsel and the Provosts’ offices.  The new policy is still in draft </w:t>
                            </w:r>
                            <w:proofErr w:type="gramStart"/>
                            <w:r>
                              <w:t>form</w:t>
                            </w:r>
                            <w:proofErr w:type="gramEnd"/>
                            <w:r>
                              <w:t xml:space="preserve"> but a significant portion of the work was done in FY21, the new policy will allow for more disclosures and will protect the institution and researchers.  It is a strong goal of ORCIS to see the policy activated in FY22. </w:t>
                            </w:r>
                          </w:p>
                          <w:p w14:paraId="5CBDB96D" w14:textId="5B9F6BB3" w:rsidR="000144A7" w:rsidRDefault="00014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AB728" id="_x0000_s1029" type="#_x0000_t202" style="position:absolute;margin-left:188.25pt;margin-top:346.25pt;width:281.25pt;height:26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">
                <v:textbox>
                  <w:txbxContent>
                    <w:p w14:paraId="1281C383" w14:textId="77777777" w:rsidR="000144A7" w:rsidRDefault="000144A7" w:rsidP="000144A7">
                      <w:r>
                        <w:rPr>
                          <w:b/>
                        </w:rPr>
                        <w:t>CONFLICTS OF INTEREST</w:t>
                      </w:r>
                    </w:p>
                    <w:p w14:paraId="7E05AE09" w14:textId="77777777" w:rsidR="00AC2ED2" w:rsidRDefault="00AC2ED2" w:rsidP="00AC2ED2">
                      <w:r>
                        <w:t xml:space="preserve">Institutions receiving Public Health Services (PHS) funding must monitor their Principal Investigators for possible Conflicts of Interest through a proactive policy.   In FY20 ORCIS received twelve disclosures from eleven PHS funded projects. The training is required every four years and ORCIS offers this training through the CITI online modules.  In FY21, 24 individuals took the training.  </w:t>
                      </w:r>
                    </w:p>
                    <w:p w14:paraId="3AF27BFE" w14:textId="77777777" w:rsidR="00AC2ED2" w:rsidRPr="007D1615" w:rsidRDefault="00AC2ED2" w:rsidP="00AC2ED2">
                      <w:r>
                        <w:t xml:space="preserve">In FY21 ORCIS began an overhaul of the university wide Conflicts of Interest policy.  This is a joint effort with General Counsel and the Provosts’ offices.  The new policy is still in draft </w:t>
                      </w:r>
                      <w:proofErr w:type="gramStart"/>
                      <w:r>
                        <w:t>form</w:t>
                      </w:r>
                      <w:proofErr w:type="gramEnd"/>
                      <w:r>
                        <w:t xml:space="preserve"> but a significant portion of the work was done in FY21, the new policy will allow for more disclosures and will protect the institution and researchers.  It is a strong goal of ORCIS to see the policy activated in FY22. </w:t>
                      </w:r>
                    </w:p>
                    <w:p w14:paraId="5CBDB96D" w14:textId="5B9F6BB3" w:rsidR="000144A7" w:rsidRDefault="000144A7"/>
                  </w:txbxContent>
                </v:textbox>
                <w10:wrap type="square"/>
              </v:shape>
            </w:pict>
          </mc:Fallback>
        </mc:AlternateContent>
      </w:r>
      <w:r w:rsidR="00D92E90">
        <w:rPr>
          <w:b/>
          <w:noProof/>
        </w:rPr>
        <mc:AlternateContent>
          <mc:Choice Requires="wps">
            <w:drawing>
              <wp:anchor distT="0" distB="0" distL="114300" distR="114300" simplePos="0" relativeHeight="251682816" behindDoc="0" locked="0" layoutInCell="1" allowOverlap="1" wp14:anchorId="19AE910D" wp14:editId="64E1644B">
                <wp:simplePos x="0" y="0"/>
                <wp:positionH relativeFrom="column">
                  <wp:posOffset>2729865</wp:posOffset>
                </wp:positionH>
                <wp:positionV relativeFrom="paragraph">
                  <wp:posOffset>1388110</wp:posOffset>
                </wp:positionV>
                <wp:extent cx="361950" cy="264160"/>
                <wp:effectExtent l="38100" t="19050" r="38100" b="59690"/>
                <wp:wrapNone/>
                <wp:docPr id="20" name="Straight Arrow Connector 20"/>
                <wp:cNvGraphicFramePr/>
                <a:graphic xmlns:a="http://schemas.openxmlformats.org/drawingml/2006/main">
                  <a:graphicData uri="http://schemas.microsoft.com/office/word/2010/wordprocessingShape">
                    <wps:wsp>
                      <wps:cNvCnPr/>
                      <wps:spPr>
                        <a:xfrm flipH="1">
                          <a:off x="0" y="0"/>
                          <a:ext cx="361950" cy="264160"/>
                        </a:xfrm>
                        <a:prstGeom prst="straightConnector1">
                          <a:avLst/>
                        </a:prstGeom>
                        <a:ln w="635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512DC" id="Straight Arrow Connector 20" o:spid="_x0000_s1026" type="#_x0000_t32" style="position:absolute;margin-left:214.95pt;margin-top:109.3pt;width:28.5pt;height:20.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" strokecolor="gray [1629]" strokeweight="5pt">
                <v:stroke endarrow="block" joinstyle="miter"/>
              </v:shape>
            </w:pict>
          </mc:Fallback>
        </mc:AlternateContent>
      </w:r>
      <w:r w:rsidR="00D92E90">
        <w:rPr>
          <w:noProof/>
        </w:rPr>
        <mc:AlternateContent>
          <mc:Choice Requires="wps">
            <w:drawing>
              <wp:anchor distT="45720" distB="45720" distL="114300" distR="114300" simplePos="0" relativeHeight="251671552" behindDoc="0" locked="0" layoutInCell="1" allowOverlap="1" wp14:anchorId="014C8E3D" wp14:editId="4F27B48B">
                <wp:simplePos x="0" y="0"/>
                <wp:positionH relativeFrom="column">
                  <wp:posOffset>1294765</wp:posOffset>
                </wp:positionH>
                <wp:positionV relativeFrom="paragraph">
                  <wp:posOffset>1476375</wp:posOffset>
                </wp:positionV>
                <wp:extent cx="3457575" cy="3429000"/>
                <wp:effectExtent l="133350" t="133350" r="161925" b="152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429000"/>
                        </a:xfrm>
                        <a:prstGeom prst="rect">
                          <a:avLst/>
                        </a:prstGeom>
                        <a:solidFill>
                          <a:srgbClr val="FFFFFF"/>
                        </a:solidFill>
                        <a:ln w="9525">
                          <a:solidFill>
                            <a:srgbClr val="000000"/>
                          </a:solidFill>
                          <a:miter lim="800000"/>
                          <a:headEnd/>
                          <a:tailEnd/>
                        </a:ln>
                        <a:effectLst>
                          <a:glow rad="127000">
                            <a:srgbClr val="C00000">
                              <a:alpha val="45000"/>
                            </a:srgbClr>
                          </a:glow>
                        </a:effectLst>
                      </wps:spPr>
                      <wps:txbx>
                        <w:txbxContent>
                          <w:p w14:paraId="7110F4CA" w14:textId="576EB45B" w:rsidR="000144A7" w:rsidRDefault="000144A7" w:rsidP="000144A7">
                            <w:pPr>
                              <w:rPr>
                                <w:b/>
                              </w:rPr>
                            </w:pPr>
                            <w:r>
                              <w:rPr>
                                <w:b/>
                              </w:rPr>
                              <w:t>FOREIGN INFLUENCE</w:t>
                            </w:r>
                          </w:p>
                          <w:p w14:paraId="6CC0BF6E" w14:textId="77777777" w:rsidR="00AC2ED2" w:rsidRPr="007D1615" w:rsidRDefault="00AC2ED2" w:rsidP="00AC2ED2">
                            <w:r>
                              <w:t xml:space="preserve">The federal government has a growing concern for foreign influence and theft of intellectual property by foreign states.  The government has requested universities take a proactive role in combating this threat. ORCIS is continuing to develop programs to educate the NIU community on the threat of foreign influence and is active in implementing government guidance.  ORCIS represents NIU on the Academic Security &amp; Counter Exploitation Program and attended several professional development sessions on this offered by </w:t>
                            </w:r>
                            <w:proofErr w:type="gramStart"/>
                            <w:r>
                              <w:t>a number of</w:t>
                            </w:r>
                            <w:proofErr w:type="gramEnd"/>
                            <w:r>
                              <w:t xml:space="preserve"> organizations including the FBI.  </w:t>
                            </w:r>
                          </w:p>
                          <w:p w14:paraId="6E832403" w14:textId="1CF0A821" w:rsidR="000144A7" w:rsidRDefault="00014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8E3D" id="_x0000_s1030" type="#_x0000_t202" style="position:absolute;margin-left:101.95pt;margin-top:116.25pt;width:272.25pt;height:27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">
                <v:textbox>
                  <w:txbxContent>
                    <w:p w14:paraId="7110F4CA" w14:textId="576EB45B" w:rsidR="000144A7" w:rsidRDefault="000144A7" w:rsidP="000144A7">
                      <w:pPr>
                        <w:rPr>
                          <w:b/>
                        </w:rPr>
                      </w:pPr>
                      <w:r>
                        <w:rPr>
                          <w:b/>
                        </w:rPr>
                        <w:t>FOREIGN INFLUENCE</w:t>
                      </w:r>
                    </w:p>
                    <w:p w14:paraId="6CC0BF6E" w14:textId="77777777" w:rsidR="00AC2ED2" w:rsidRPr="007D1615" w:rsidRDefault="00AC2ED2" w:rsidP="00AC2ED2">
                      <w:r>
                        <w:t xml:space="preserve">The federal government has a growing concern for foreign influence and theft of intellectual property by foreign states.  The government has requested universities take a proactive role in combating this threat. ORCIS is continuing to develop programs to educate the NIU community on the threat of foreign influence and is active in implementing government guidance.  ORCIS represents NIU on the Academic Security &amp; Counter Exploitation Program and attended several professional development sessions on this offered by </w:t>
                      </w:r>
                      <w:proofErr w:type="gramStart"/>
                      <w:r>
                        <w:t>a number of</w:t>
                      </w:r>
                      <w:proofErr w:type="gramEnd"/>
                      <w:r>
                        <w:t xml:space="preserve"> organizations including the FBI.  </w:t>
                      </w:r>
                    </w:p>
                    <w:p w14:paraId="6E832403" w14:textId="1CF0A821" w:rsidR="000144A7" w:rsidRDefault="000144A7"/>
                  </w:txbxContent>
                </v:textbox>
                <w10:wrap type="square"/>
              </v:shape>
            </w:pict>
          </mc:Fallback>
        </mc:AlternateContent>
      </w:r>
      <w:r w:rsidR="0074293B">
        <w:rPr>
          <w:b/>
        </w:rPr>
        <w:br w:type="page"/>
      </w:r>
    </w:p>
    <w:p w14:paraId="70F27D8C" w14:textId="048FC4B7" w:rsidR="00805858" w:rsidRDefault="00E956E1">
      <w:r>
        <w:rPr>
          <w:b/>
        </w:rPr>
        <w:lastRenderedPageBreak/>
        <w:t>RESPONSIBLE</w:t>
      </w:r>
      <w:r w:rsidR="00805858" w:rsidRPr="00D52E17">
        <w:rPr>
          <w:b/>
        </w:rPr>
        <w:t xml:space="preserve"> </w:t>
      </w:r>
      <w:r>
        <w:rPr>
          <w:b/>
        </w:rPr>
        <w:t>CONDUCT</w:t>
      </w:r>
      <w:r w:rsidR="00805858" w:rsidRPr="00D52E17">
        <w:rPr>
          <w:b/>
        </w:rPr>
        <w:t xml:space="preserve"> </w:t>
      </w:r>
      <w:r>
        <w:rPr>
          <w:b/>
        </w:rPr>
        <w:t>OF RESEARCH</w:t>
      </w:r>
    </w:p>
    <w:p w14:paraId="3F701836" w14:textId="77777777" w:rsidR="00AC2ED2" w:rsidRDefault="00AC2ED2" w:rsidP="00AC2ED2">
      <w:r>
        <w:t xml:space="preserve">ORCIS is responsible for monitoring and providing training in the Responsible Conduct of Research (RCR).  This service is provided two different ways.  The first is traditional trainings direct from ORCIS.  This includes mandated trainings by students who receive funding from NSF grants. In FY21, twenty-seven graduate students required RCR training and completed the course.    </w:t>
      </w:r>
    </w:p>
    <w:p w14:paraId="24B1949A" w14:textId="5F1B9BF8" w:rsidR="006E7A84" w:rsidRPr="0074293B" w:rsidRDefault="006E7A84">
      <w:pPr>
        <w:rPr>
          <w:b/>
          <w:bCs/>
        </w:rPr>
      </w:pPr>
    </w:p>
    <w:p w14:paraId="3837BFB5" w14:textId="31B523EE" w:rsidR="000C1753" w:rsidRDefault="000C1753" w:rsidP="0074293B">
      <w:pPr>
        <w:jc w:val="center"/>
      </w:pPr>
      <w:r>
        <w:rPr>
          <w:noProof/>
        </w:rPr>
        <w:drawing>
          <wp:inline distT="0" distB="0" distL="0" distR="0" wp14:anchorId="0D303276" wp14:editId="1D5CF77E">
            <wp:extent cx="4352925" cy="44291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054825" w14:textId="77777777" w:rsidR="0074293B" w:rsidRPr="0074293B" w:rsidRDefault="0074293B" w:rsidP="0074293B">
      <w:pPr>
        <w:rPr>
          <w:b/>
          <w:bCs/>
        </w:rPr>
      </w:pPr>
      <w:r w:rsidRPr="0074293B">
        <w:rPr>
          <w:b/>
          <w:bCs/>
        </w:rPr>
        <w:t>The training comprises:</w:t>
      </w:r>
    </w:p>
    <w:p w14:paraId="514FFA1C" w14:textId="036D6006" w:rsidR="008355F4" w:rsidRDefault="008355F4" w:rsidP="00AC2ED2">
      <w:pPr>
        <w:pStyle w:val="ListParagraph"/>
        <w:numPr>
          <w:ilvl w:val="0"/>
          <w:numId w:val="4"/>
        </w:numPr>
      </w:pPr>
      <w:r>
        <w:t xml:space="preserve">Classroom sessions: </w:t>
      </w:r>
    </w:p>
    <w:p w14:paraId="7B91C355" w14:textId="673221B2" w:rsidR="008355F4" w:rsidRDefault="004544EF" w:rsidP="008355F4">
      <w:pPr>
        <w:pStyle w:val="ListParagraph"/>
        <w:numPr>
          <w:ilvl w:val="2"/>
          <w:numId w:val="4"/>
        </w:numPr>
      </w:pPr>
      <w:r>
        <w:t xml:space="preserve">One session for </w:t>
      </w:r>
      <w:r w:rsidR="008355F4">
        <w:t>Graduate Professionalism</w:t>
      </w:r>
      <w:r>
        <w:t xml:space="preserve"> involving </w:t>
      </w:r>
      <w:r w:rsidR="008355F4">
        <w:t>approximately 20 individuals</w:t>
      </w:r>
    </w:p>
    <w:p w14:paraId="4CBE8486" w14:textId="05A2E5FA" w:rsidR="008355F4" w:rsidRDefault="004544EF" w:rsidP="008355F4">
      <w:pPr>
        <w:pStyle w:val="ListParagraph"/>
        <w:numPr>
          <w:ilvl w:val="2"/>
          <w:numId w:val="4"/>
        </w:numPr>
      </w:pPr>
      <w:r>
        <w:t>Four sessions fo</w:t>
      </w:r>
      <w:r w:rsidR="007431BE">
        <w:t>r</w:t>
      </w:r>
      <w:r>
        <w:t xml:space="preserve"> </w:t>
      </w:r>
      <w:r w:rsidR="008355F4">
        <w:t>Graduate Ethics Chemistry</w:t>
      </w:r>
      <w:r>
        <w:t xml:space="preserve"> involving </w:t>
      </w:r>
      <w:r w:rsidR="008355F4">
        <w:t>approximately 60 individuals</w:t>
      </w:r>
    </w:p>
    <w:p w14:paraId="34CE8324" w14:textId="345DC987" w:rsidR="006E7A84" w:rsidRDefault="006E7A84" w:rsidP="006E7A84">
      <w:pPr>
        <w:pStyle w:val="ListParagraph"/>
        <w:numPr>
          <w:ilvl w:val="0"/>
          <w:numId w:val="4"/>
        </w:numPr>
      </w:pPr>
      <w:r>
        <w:t>Online:</w:t>
      </w:r>
    </w:p>
    <w:p w14:paraId="07C5F970" w14:textId="2D6B0B2B" w:rsidR="00AB2C77" w:rsidRDefault="006E7A84" w:rsidP="007431BE">
      <w:pPr>
        <w:pStyle w:val="ListParagraph"/>
        <w:numPr>
          <w:ilvl w:val="1"/>
          <w:numId w:val="4"/>
        </w:numPr>
      </w:pPr>
      <w:r>
        <w:t xml:space="preserve">Citi – 132 Individuals </w:t>
      </w:r>
    </w:p>
    <w:p w14:paraId="6F14B2C9" w14:textId="77777777" w:rsidR="00F14D7A" w:rsidRDefault="00F14D7A">
      <w:r>
        <w:br w:type="page"/>
      </w:r>
    </w:p>
    <w:p w14:paraId="450513E2" w14:textId="79629EFB" w:rsidR="00456F43" w:rsidRDefault="008355F4" w:rsidP="008355F4">
      <w:r>
        <w:lastRenderedPageBreak/>
        <w:t xml:space="preserve">The second way ORCIS provides </w:t>
      </w:r>
      <w:r w:rsidR="004544EF">
        <w:t xml:space="preserve">RCR </w:t>
      </w:r>
      <w:r>
        <w:t xml:space="preserve">training is in conjunction with the Graduate School.  Both offices work together to provide a forum series, opened to all but geared toward </w:t>
      </w:r>
      <w:r w:rsidR="004544EF">
        <w:t>g</w:t>
      </w:r>
      <w:r>
        <w:t xml:space="preserve">raduate </w:t>
      </w:r>
      <w:r w:rsidR="004544EF">
        <w:t>s</w:t>
      </w:r>
      <w:r>
        <w:t>tudents.  In FY2</w:t>
      </w:r>
      <w:r w:rsidR="004477B5">
        <w:t>1</w:t>
      </w:r>
      <w:r w:rsidR="004544EF">
        <w:t xml:space="preserve">, </w:t>
      </w:r>
      <w:r>
        <w:t xml:space="preserve">ten training sessions were offered. </w:t>
      </w:r>
      <w:r w:rsidR="004544EF">
        <w:t xml:space="preserve"> </w:t>
      </w:r>
    </w:p>
    <w:p w14:paraId="090861B3" w14:textId="7B3DCCCB" w:rsidR="00456F43" w:rsidRDefault="00456F43" w:rsidP="008355F4">
      <w:r>
        <w:rPr>
          <w:noProof/>
        </w:rPr>
        <w:drawing>
          <wp:inline distT="0" distB="0" distL="0" distR="0" wp14:anchorId="0CE67B10" wp14:editId="142B9ACC">
            <wp:extent cx="5829300" cy="309562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CDB9C1" w14:textId="6ED8AA41" w:rsidR="008355F4" w:rsidRDefault="008355F4" w:rsidP="008355F4">
      <w:r>
        <w:t xml:space="preserve">The training </w:t>
      </w:r>
      <w:r w:rsidR="004544EF">
        <w:t>topics and individuals served follow</w:t>
      </w:r>
      <w:r>
        <w:t xml:space="preserve">: </w:t>
      </w:r>
    </w:p>
    <w:p w14:paraId="154C2909" w14:textId="77777777" w:rsidR="004477B5" w:rsidRDefault="004477B5" w:rsidP="004477B5">
      <w:pPr>
        <w:pStyle w:val="ListParagraph"/>
        <w:numPr>
          <w:ilvl w:val="0"/>
          <w:numId w:val="6"/>
        </w:numPr>
      </w:pPr>
      <w:r>
        <w:t xml:space="preserve">Mentoring – 51 attendees </w:t>
      </w:r>
    </w:p>
    <w:p w14:paraId="25CEFC63" w14:textId="77777777" w:rsidR="004477B5" w:rsidRDefault="004477B5" w:rsidP="004477B5">
      <w:pPr>
        <w:pStyle w:val="ListParagraph"/>
        <w:numPr>
          <w:ilvl w:val="0"/>
          <w:numId w:val="6"/>
        </w:numPr>
      </w:pPr>
      <w:r>
        <w:t xml:space="preserve">Collaborative Research – 56 attendees </w:t>
      </w:r>
    </w:p>
    <w:p w14:paraId="10B52BB3" w14:textId="77777777" w:rsidR="004477B5" w:rsidRDefault="004477B5" w:rsidP="004477B5">
      <w:pPr>
        <w:pStyle w:val="ListParagraph"/>
        <w:numPr>
          <w:ilvl w:val="0"/>
          <w:numId w:val="6"/>
        </w:numPr>
      </w:pPr>
      <w:r>
        <w:t xml:space="preserve">Animal Care and Use - 14 attendees </w:t>
      </w:r>
    </w:p>
    <w:p w14:paraId="115A1B51" w14:textId="77777777" w:rsidR="004477B5" w:rsidRDefault="004477B5" w:rsidP="004477B5">
      <w:pPr>
        <w:pStyle w:val="ListParagraph"/>
        <w:numPr>
          <w:ilvl w:val="0"/>
          <w:numId w:val="6"/>
        </w:numPr>
      </w:pPr>
      <w:r>
        <w:t xml:space="preserve">Conflicts of Interest - 40 attendees </w:t>
      </w:r>
    </w:p>
    <w:p w14:paraId="48D6A920" w14:textId="77777777" w:rsidR="004477B5" w:rsidRDefault="004477B5" w:rsidP="004477B5">
      <w:pPr>
        <w:pStyle w:val="ListParagraph"/>
        <w:numPr>
          <w:ilvl w:val="0"/>
          <w:numId w:val="6"/>
        </w:numPr>
      </w:pPr>
      <w:r>
        <w:t xml:space="preserve">Peer Review – 48 attendees </w:t>
      </w:r>
    </w:p>
    <w:p w14:paraId="6E22FB07" w14:textId="77777777" w:rsidR="004477B5" w:rsidRDefault="004477B5" w:rsidP="004477B5">
      <w:pPr>
        <w:pStyle w:val="ListParagraph"/>
        <w:numPr>
          <w:ilvl w:val="0"/>
          <w:numId w:val="6"/>
        </w:numPr>
      </w:pPr>
      <w:r>
        <w:t xml:space="preserve">Authorship and Publication – 46 attendees </w:t>
      </w:r>
    </w:p>
    <w:p w14:paraId="4F05238B" w14:textId="77777777" w:rsidR="004477B5" w:rsidRDefault="004477B5" w:rsidP="004477B5">
      <w:pPr>
        <w:pStyle w:val="ListParagraph"/>
        <w:numPr>
          <w:ilvl w:val="0"/>
          <w:numId w:val="6"/>
        </w:numPr>
      </w:pPr>
      <w:r>
        <w:t>Research Misconduct - 58 attendees</w:t>
      </w:r>
    </w:p>
    <w:p w14:paraId="133169D5" w14:textId="77777777" w:rsidR="004477B5" w:rsidRDefault="004477B5" w:rsidP="004477B5">
      <w:pPr>
        <w:pStyle w:val="ListParagraph"/>
        <w:numPr>
          <w:ilvl w:val="0"/>
          <w:numId w:val="6"/>
        </w:numPr>
      </w:pPr>
      <w:r>
        <w:t xml:space="preserve">Data Management – 45 attendees </w:t>
      </w:r>
    </w:p>
    <w:p w14:paraId="69B5DE27" w14:textId="77777777" w:rsidR="004477B5" w:rsidRDefault="004477B5" w:rsidP="004477B5">
      <w:pPr>
        <w:pStyle w:val="ListParagraph"/>
        <w:numPr>
          <w:ilvl w:val="0"/>
          <w:numId w:val="6"/>
        </w:numPr>
      </w:pPr>
      <w:r>
        <w:t xml:space="preserve">Human Subjects – 25 attendees </w:t>
      </w:r>
    </w:p>
    <w:p w14:paraId="01186CD7" w14:textId="280F187C" w:rsidR="004477B5" w:rsidRDefault="004477B5" w:rsidP="004477B5">
      <w:pPr>
        <w:pStyle w:val="ListParagraph"/>
        <w:numPr>
          <w:ilvl w:val="0"/>
          <w:numId w:val="6"/>
        </w:numPr>
      </w:pPr>
      <w:r>
        <w:t xml:space="preserve">Laboratory Safety – 71 attendees </w:t>
      </w:r>
    </w:p>
    <w:p w14:paraId="662B0F5B" w14:textId="77777777" w:rsidR="004477B5" w:rsidRDefault="004477B5" w:rsidP="004477B5"/>
    <w:p w14:paraId="36401310" w14:textId="2E14B41D" w:rsidR="004477B5" w:rsidRDefault="004477B5" w:rsidP="004477B5">
      <w:r>
        <w:t xml:space="preserve">Additional attendees may have been present, but their attendance is not counted if they are not participating.  We have seen a marked uptick in attendance, the last two academic years: </w:t>
      </w:r>
    </w:p>
    <w:p w14:paraId="06217583" w14:textId="4CA5DD2F" w:rsidR="004477B5" w:rsidRDefault="004477B5" w:rsidP="004477B5"/>
    <w:p w14:paraId="12232F91" w14:textId="77777777" w:rsidR="004477B5" w:rsidRDefault="004477B5" w:rsidP="004477B5"/>
    <w:tbl>
      <w:tblPr>
        <w:tblpPr w:leftFromText="180" w:rightFromText="180" w:vertAnchor="text" w:horzAnchor="page" w:tblpX="1446" w:tblpY="-63"/>
        <w:tblW w:w="8630" w:type="dxa"/>
        <w:tblCellMar>
          <w:left w:w="0" w:type="dxa"/>
          <w:right w:w="0" w:type="dxa"/>
        </w:tblCellMar>
        <w:tblLook w:val="0420" w:firstRow="1" w:lastRow="0" w:firstColumn="0" w:lastColumn="0" w:noHBand="0" w:noVBand="1"/>
      </w:tblPr>
      <w:tblGrid>
        <w:gridCol w:w="3050"/>
        <w:gridCol w:w="1440"/>
        <w:gridCol w:w="1350"/>
        <w:gridCol w:w="1440"/>
        <w:gridCol w:w="1350"/>
      </w:tblGrid>
      <w:tr w:rsidR="004477B5" w:rsidRPr="00413E8A" w14:paraId="32BD66F0" w14:textId="77777777" w:rsidTr="004477B5">
        <w:trPr>
          <w:trHeight w:val="307"/>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45B484" w14:textId="77777777" w:rsidR="004477B5" w:rsidRPr="00413E8A" w:rsidRDefault="004477B5" w:rsidP="004477B5"/>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2ADA09" w14:textId="77777777" w:rsidR="004477B5" w:rsidRPr="00413E8A" w:rsidRDefault="004477B5" w:rsidP="004477B5">
            <w:r w:rsidRPr="00413E8A">
              <w:rPr>
                <w:b/>
                <w:bCs/>
              </w:rPr>
              <w:t>2017 - 2018</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FB59F2" w14:textId="77777777" w:rsidR="004477B5" w:rsidRPr="00413E8A" w:rsidRDefault="004477B5" w:rsidP="004477B5">
            <w:r w:rsidRPr="00413E8A">
              <w:rPr>
                <w:b/>
                <w:bCs/>
              </w:rPr>
              <w:t>2018 - 2019</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B6681D" w14:textId="77777777" w:rsidR="004477B5" w:rsidRPr="00413E8A" w:rsidRDefault="004477B5" w:rsidP="004477B5">
            <w:r w:rsidRPr="00413E8A">
              <w:rPr>
                <w:b/>
                <w:bCs/>
              </w:rPr>
              <w:t>2019 -2020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C4FA27" w14:textId="77777777" w:rsidR="004477B5" w:rsidRPr="00413E8A" w:rsidRDefault="004477B5" w:rsidP="004477B5">
            <w:r w:rsidRPr="00413E8A">
              <w:rPr>
                <w:b/>
                <w:bCs/>
              </w:rPr>
              <w:t>2020 - 2021</w:t>
            </w:r>
          </w:p>
        </w:tc>
      </w:tr>
      <w:tr w:rsidR="004477B5" w:rsidRPr="00413E8A" w14:paraId="3D2D50A9" w14:textId="77777777" w:rsidTr="004477B5">
        <w:trPr>
          <w:trHeight w:val="307"/>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22C494" w14:textId="77777777" w:rsidR="004477B5" w:rsidRPr="00413E8A" w:rsidRDefault="004477B5" w:rsidP="004477B5">
            <w:r w:rsidRPr="00413E8A">
              <w:lastRenderedPageBreak/>
              <w:t>FALL SEMESTER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DC2EDD" w14:textId="77777777" w:rsidR="004477B5" w:rsidRPr="00413E8A" w:rsidRDefault="004477B5" w:rsidP="004477B5">
            <w:r w:rsidRPr="00413E8A">
              <w:t>148</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FED0F7" w14:textId="77777777" w:rsidR="004477B5" w:rsidRPr="00413E8A" w:rsidRDefault="004477B5" w:rsidP="004477B5">
            <w:r w:rsidRPr="00413E8A">
              <w:t>113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A37728" w14:textId="77777777" w:rsidR="004477B5" w:rsidRPr="00413E8A" w:rsidRDefault="004477B5" w:rsidP="004477B5">
            <w:r w:rsidRPr="00413E8A">
              <w:t>195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1F3B29" w14:textId="77777777" w:rsidR="004477B5" w:rsidRPr="00413E8A" w:rsidRDefault="004477B5" w:rsidP="004477B5">
            <w:r w:rsidRPr="00413E8A">
              <w:t>209</w:t>
            </w:r>
          </w:p>
        </w:tc>
      </w:tr>
      <w:tr w:rsidR="004477B5" w:rsidRPr="00413E8A" w14:paraId="55A443AD" w14:textId="77777777" w:rsidTr="004477B5">
        <w:trPr>
          <w:trHeight w:val="307"/>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7C4927" w14:textId="77777777" w:rsidR="004477B5" w:rsidRPr="00413E8A" w:rsidRDefault="004477B5" w:rsidP="004477B5">
            <w:r w:rsidRPr="00413E8A">
              <w:t>SPRING SEMESTER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0F03E8" w14:textId="77777777" w:rsidR="004477B5" w:rsidRPr="00413E8A" w:rsidRDefault="004477B5" w:rsidP="004477B5">
            <w:r w:rsidRPr="00413E8A">
              <w:t>94</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15B199" w14:textId="77777777" w:rsidR="004477B5" w:rsidRPr="00413E8A" w:rsidRDefault="004477B5" w:rsidP="004477B5">
            <w:r w:rsidRPr="00413E8A">
              <w:t>123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4B1E04" w14:textId="77777777" w:rsidR="004477B5" w:rsidRPr="00413E8A" w:rsidRDefault="004477B5" w:rsidP="004477B5">
            <w:r w:rsidRPr="00413E8A">
              <w:t>136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B345A" w14:textId="77777777" w:rsidR="004477B5" w:rsidRPr="00413E8A" w:rsidRDefault="004477B5" w:rsidP="004477B5">
            <w:r w:rsidRPr="00413E8A">
              <w:t>245</w:t>
            </w:r>
          </w:p>
        </w:tc>
      </w:tr>
      <w:tr w:rsidR="004477B5" w:rsidRPr="00413E8A" w14:paraId="081EDEC0" w14:textId="77777777" w:rsidTr="004477B5">
        <w:trPr>
          <w:trHeight w:val="307"/>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532AB" w14:textId="77777777" w:rsidR="004477B5" w:rsidRPr="00413E8A" w:rsidRDefault="004477B5" w:rsidP="004477B5">
            <w:r w:rsidRPr="00413E8A">
              <w:t>TOTAL # / Unique Students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359666" w14:textId="77777777" w:rsidR="004477B5" w:rsidRPr="00413E8A" w:rsidRDefault="004477B5" w:rsidP="004477B5">
            <w:r w:rsidRPr="00413E8A">
              <w:t>242 (137)</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D79D72" w14:textId="77777777" w:rsidR="004477B5" w:rsidRPr="00413E8A" w:rsidRDefault="004477B5" w:rsidP="004477B5">
            <w:r w:rsidRPr="00413E8A">
              <w:t>236 (97)</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008D0" w14:textId="77777777" w:rsidR="004477B5" w:rsidRPr="00413E8A" w:rsidRDefault="004477B5" w:rsidP="004477B5">
            <w:r w:rsidRPr="00413E8A">
              <w:t>331 (159)</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1EEAB4" w14:textId="77777777" w:rsidR="004477B5" w:rsidRPr="00413E8A" w:rsidRDefault="004477B5" w:rsidP="004477B5">
            <w:r w:rsidRPr="00413E8A">
              <w:t>454 (182)</w:t>
            </w:r>
          </w:p>
        </w:tc>
      </w:tr>
      <w:tr w:rsidR="004477B5" w:rsidRPr="00413E8A" w14:paraId="4D4E8883" w14:textId="77777777" w:rsidTr="004477B5">
        <w:trPr>
          <w:trHeight w:val="307"/>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5419AF" w14:textId="77777777" w:rsidR="004477B5" w:rsidRPr="00413E8A" w:rsidRDefault="004477B5" w:rsidP="004477B5">
            <w:r w:rsidRPr="00413E8A">
              <w:t>% INCREASE / DESCREASE</w:t>
            </w:r>
          </w:p>
        </w:tc>
        <w:tc>
          <w:tcPr>
            <w:tcW w:w="144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6C6A0F4F" w14:textId="77777777" w:rsidR="004477B5" w:rsidRPr="00413E8A" w:rsidRDefault="004477B5" w:rsidP="004477B5"/>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DA4781" w14:textId="77777777" w:rsidR="004477B5" w:rsidRPr="00413E8A" w:rsidRDefault="004477B5" w:rsidP="004477B5">
            <w:r w:rsidRPr="00413E8A">
              <w:t>- 2.5% (-29%)</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F5F8CE" w14:textId="77777777" w:rsidR="004477B5" w:rsidRPr="00413E8A" w:rsidRDefault="004477B5" w:rsidP="004477B5">
            <w:r w:rsidRPr="00413E8A">
              <w:t>+40% (+63%)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56C19D" w14:textId="77777777" w:rsidR="004477B5" w:rsidRPr="00413E8A" w:rsidRDefault="004477B5" w:rsidP="004477B5">
            <w:r w:rsidRPr="00413E8A">
              <w:t>+37% (+14%)</w:t>
            </w:r>
          </w:p>
        </w:tc>
      </w:tr>
      <w:tr w:rsidR="004477B5" w:rsidRPr="00413E8A" w14:paraId="0632BCD7" w14:textId="77777777" w:rsidTr="004477B5">
        <w:trPr>
          <w:trHeight w:val="307"/>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D7F9AE" w14:textId="77777777" w:rsidR="004477B5" w:rsidRPr="00413E8A" w:rsidRDefault="004477B5" w:rsidP="004477B5">
            <w:r w:rsidRPr="00413E8A">
              <w:t>TRANSCIPT NOTATION #</w:t>
            </w:r>
          </w:p>
        </w:tc>
        <w:tc>
          <w:tcPr>
            <w:tcW w:w="144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70927E38" w14:textId="77777777" w:rsidR="004477B5" w:rsidRPr="00413E8A" w:rsidRDefault="004477B5" w:rsidP="004477B5"/>
        </w:tc>
        <w:tc>
          <w:tcPr>
            <w:tcW w:w="135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3F012DC5" w14:textId="77777777" w:rsidR="004477B5" w:rsidRPr="00413E8A" w:rsidRDefault="004477B5" w:rsidP="004477B5"/>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5A91F" w14:textId="77777777" w:rsidR="004477B5" w:rsidRPr="00413E8A" w:rsidRDefault="004477B5" w:rsidP="004477B5">
            <w:r w:rsidRPr="00413E8A">
              <w:t xml:space="preserve">1 + 5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5D9D6" w14:textId="77777777" w:rsidR="004477B5" w:rsidRPr="00413E8A" w:rsidRDefault="004477B5" w:rsidP="004477B5">
            <w:r w:rsidRPr="00413E8A">
              <w:t>2 + 5</w:t>
            </w:r>
          </w:p>
        </w:tc>
      </w:tr>
    </w:tbl>
    <w:p w14:paraId="3568BCBE" w14:textId="77777777" w:rsidR="004477B5" w:rsidRDefault="004477B5" w:rsidP="004477B5"/>
    <w:p w14:paraId="5335A4F7" w14:textId="77777777" w:rsidR="004477B5" w:rsidRDefault="004477B5" w:rsidP="004477B5"/>
    <w:p w14:paraId="627366A1" w14:textId="77777777" w:rsidR="004477B5" w:rsidRDefault="004477B5">
      <w:pPr>
        <w:rPr>
          <w:b/>
        </w:rPr>
      </w:pPr>
    </w:p>
    <w:p w14:paraId="11EE5DC1" w14:textId="77777777" w:rsidR="004477B5" w:rsidRDefault="004477B5">
      <w:pPr>
        <w:rPr>
          <w:b/>
        </w:rPr>
      </w:pPr>
    </w:p>
    <w:p w14:paraId="7DE1C8D3" w14:textId="77777777" w:rsidR="004477B5" w:rsidRDefault="004477B5">
      <w:pPr>
        <w:rPr>
          <w:b/>
        </w:rPr>
      </w:pPr>
    </w:p>
    <w:p w14:paraId="55A5F542" w14:textId="77777777" w:rsidR="004477B5" w:rsidRDefault="004477B5">
      <w:pPr>
        <w:rPr>
          <w:b/>
        </w:rPr>
      </w:pPr>
    </w:p>
    <w:p w14:paraId="62DC0766" w14:textId="77777777" w:rsidR="004477B5" w:rsidRDefault="004477B5">
      <w:pPr>
        <w:rPr>
          <w:b/>
        </w:rPr>
      </w:pPr>
    </w:p>
    <w:p w14:paraId="59FC7532" w14:textId="77777777" w:rsidR="004477B5" w:rsidRDefault="004477B5">
      <w:pPr>
        <w:rPr>
          <w:b/>
        </w:rPr>
      </w:pPr>
    </w:p>
    <w:p w14:paraId="4A9B52BA" w14:textId="31A41720" w:rsidR="004477B5" w:rsidRDefault="004477B5">
      <w:pPr>
        <w:rPr>
          <w:b/>
        </w:rPr>
      </w:pPr>
    </w:p>
    <w:p w14:paraId="703777B2" w14:textId="5255FAC3" w:rsidR="004477B5" w:rsidRDefault="004477B5">
      <w:pPr>
        <w:rPr>
          <w:b/>
        </w:rPr>
      </w:pPr>
    </w:p>
    <w:p w14:paraId="5D90747C" w14:textId="77777777" w:rsidR="004477B5" w:rsidRPr="006E7A84" w:rsidRDefault="004477B5" w:rsidP="004477B5">
      <w:r>
        <w:t xml:space="preserve">Attendance (and participation) at the six core topics over the course of two years earns a graduate student transcript notation.  Seven graduate students received the transcript notation in FY21.  This is transitioning to seven topics in FY22. </w:t>
      </w:r>
    </w:p>
    <w:p w14:paraId="4781E73A" w14:textId="77777777" w:rsidR="004477B5" w:rsidRDefault="004477B5">
      <w:pPr>
        <w:rPr>
          <w:b/>
        </w:rPr>
      </w:pPr>
    </w:p>
    <w:p w14:paraId="7F10DA34" w14:textId="1AF7DB48" w:rsidR="00805858" w:rsidRDefault="004477B5">
      <w:pPr>
        <w:rPr>
          <w:b/>
        </w:rPr>
      </w:pPr>
      <w:r>
        <w:rPr>
          <w:b/>
        </w:rPr>
        <w:t>R</w:t>
      </w:r>
      <w:r w:rsidR="008A11ED">
        <w:rPr>
          <w:b/>
        </w:rPr>
        <w:t>ESEARCH</w:t>
      </w:r>
      <w:r w:rsidR="00805858" w:rsidRPr="00D52E17">
        <w:rPr>
          <w:b/>
        </w:rPr>
        <w:t xml:space="preserve"> </w:t>
      </w:r>
      <w:r w:rsidR="008A11ED">
        <w:rPr>
          <w:b/>
        </w:rPr>
        <w:t>MISCONDUCT</w:t>
      </w:r>
      <w:r w:rsidR="00805858" w:rsidRPr="00D52E17">
        <w:rPr>
          <w:b/>
        </w:rPr>
        <w:t xml:space="preserve"> </w:t>
      </w:r>
    </w:p>
    <w:p w14:paraId="4DA05C47" w14:textId="77777777" w:rsidR="00610D55" w:rsidRPr="006E7A84" w:rsidRDefault="00610D55" w:rsidP="00610D55">
      <w:r>
        <w:t xml:space="preserve">NIU strives for the highest level of research integrity.  As mandated by the Federal Office of Research Integrity, NIU has a Research Integrity Officer which is fulfilled by Shannon Stoker.  In FY21 there were no allegations of research misconduct.  While this number should be celebrated, it is still a requirement ORCIS stay up to date on rules and regulations regarding research </w:t>
      </w:r>
      <w:proofErr w:type="gramStart"/>
      <w:r>
        <w:t>misconduct</w:t>
      </w:r>
      <w:proofErr w:type="gramEnd"/>
      <w:r>
        <w:t xml:space="preserve"> so NIU is prepared for any allegation.   Time was devoted to ensuring policies and procedures are active and compliant with Federal regulations.  NIU is an active member in the Association of Research Integrity Officers.  NIU is also a member of the subcommittee on education.  </w:t>
      </w:r>
    </w:p>
    <w:p w14:paraId="24B498DB" w14:textId="77777777" w:rsidR="00610D55" w:rsidRDefault="00610D55" w:rsidP="00117E4B">
      <w:pPr>
        <w:rPr>
          <w:b/>
        </w:rPr>
      </w:pPr>
    </w:p>
    <w:p w14:paraId="374C0BAE" w14:textId="6E9351C3" w:rsidR="00B23BCB" w:rsidRDefault="00202BBF" w:rsidP="00117E4B">
      <w:pPr>
        <w:rPr>
          <w:b/>
        </w:rPr>
      </w:pPr>
      <w:r>
        <w:rPr>
          <w:b/>
        </w:rPr>
        <w:t>PROFESSIONAL</w:t>
      </w:r>
      <w:r w:rsidR="00B23BCB">
        <w:rPr>
          <w:b/>
        </w:rPr>
        <w:t xml:space="preserve"> </w:t>
      </w:r>
      <w:r>
        <w:rPr>
          <w:b/>
        </w:rPr>
        <w:t>DEVELOPMENT</w:t>
      </w:r>
    </w:p>
    <w:p w14:paraId="3A39570B" w14:textId="77777777" w:rsidR="00610D55" w:rsidRDefault="00610D55" w:rsidP="00610D55">
      <w:r>
        <w:t>Attended the Society of Research Associates International national conference in October 2020</w:t>
      </w:r>
    </w:p>
    <w:p w14:paraId="44CD0EFF" w14:textId="77777777" w:rsidR="00610D55" w:rsidRDefault="00610D55" w:rsidP="00610D55">
      <w:r>
        <w:t>Attended National Science, Technology, and Security Roundtable in July 2021</w:t>
      </w:r>
    </w:p>
    <w:p w14:paraId="09C529DA" w14:textId="77777777" w:rsidR="00610D55" w:rsidRDefault="00610D55" w:rsidP="00610D55">
      <w:r>
        <w:t>Attended the Federal Bureau of Investigation roundtable on Foreign Influence in May 2021</w:t>
      </w:r>
    </w:p>
    <w:p w14:paraId="6BE3422C" w14:textId="77777777" w:rsidR="00610D55" w:rsidRDefault="00610D55" w:rsidP="00610D55">
      <w:r>
        <w:t>Attended the Senate hearing on foreign influence April 2021</w:t>
      </w:r>
    </w:p>
    <w:p w14:paraId="086E71BF" w14:textId="77777777" w:rsidR="00610D55" w:rsidRDefault="00610D55" w:rsidP="00610D55">
      <w:r>
        <w:t>Attended the International Workshop for Universities by the Centre for Science and Security Studies March 2021</w:t>
      </w:r>
    </w:p>
    <w:p w14:paraId="5D3E5623" w14:textId="77777777" w:rsidR="00B513B7" w:rsidRDefault="00B513B7">
      <w:pPr>
        <w:rPr>
          <w:b/>
          <w:sz w:val="28"/>
          <w:szCs w:val="28"/>
        </w:rPr>
      </w:pPr>
      <w:r>
        <w:rPr>
          <w:b/>
          <w:sz w:val="28"/>
          <w:szCs w:val="28"/>
        </w:rPr>
        <w:br w:type="page"/>
      </w:r>
    </w:p>
    <w:p w14:paraId="5E6C9390" w14:textId="6BF9FA2D" w:rsidR="00B23BCB" w:rsidRPr="00731198" w:rsidRDefault="001C2FC7" w:rsidP="00B23BCB">
      <w:pPr>
        <w:rPr>
          <w:rFonts w:ascii="Cambria" w:hAnsi="Cambria"/>
          <w:bCs/>
          <w:color w:val="C00000"/>
          <w:sz w:val="36"/>
          <w:szCs w:val="36"/>
        </w:rPr>
      </w:pPr>
      <w:r>
        <w:rPr>
          <w:rFonts w:ascii="Cambria" w:hAnsi="Cambria"/>
          <w:bCs/>
          <w:color w:val="C00000"/>
          <w:sz w:val="36"/>
          <w:szCs w:val="36"/>
        </w:rPr>
        <w:lastRenderedPageBreak/>
        <w:t>SAFETY</w:t>
      </w:r>
    </w:p>
    <w:p w14:paraId="0EC86726" w14:textId="637C9ECB" w:rsidR="00B23BCB" w:rsidRDefault="00A21739" w:rsidP="00B23BCB">
      <w:pPr>
        <w:rPr>
          <w:b/>
        </w:rPr>
      </w:pPr>
      <w:r>
        <w:rPr>
          <w:b/>
        </w:rPr>
        <w:t>LABORATORY SAFETY</w:t>
      </w:r>
    </w:p>
    <w:p w14:paraId="2DF75184" w14:textId="77777777" w:rsidR="00610D55" w:rsidRDefault="00610D55" w:rsidP="00610D55">
      <w:r>
        <w:t xml:space="preserve">NIU has two hundred and twenty teaching and research laboratories on the DeKalb campus.  The laboratory safety team includes the Laboratory Safety Manager, Michele Crase, and the Laboratory Safety Officer, Jim Gable.  </w:t>
      </w:r>
      <w:r w:rsidRPr="00712FEF">
        <w:t xml:space="preserve">Laboratory Safety includes chemical, biological, </w:t>
      </w:r>
      <w:proofErr w:type="gramStart"/>
      <w:r w:rsidRPr="00712FEF">
        <w:t>radiological</w:t>
      </w:r>
      <w:proofErr w:type="gramEnd"/>
      <w:r w:rsidRPr="00712FEF">
        <w:t xml:space="preserve"> and physical hazards </w:t>
      </w:r>
      <w:r>
        <w:t>present</w:t>
      </w:r>
      <w:r w:rsidRPr="00712FEF">
        <w:t xml:space="preserve"> in the laboratory or field research. Various committees oversee portions of laboratory safety. Federal and State regulations require specific committees focus on </w:t>
      </w:r>
      <w:r>
        <w:t>specific</w:t>
      </w:r>
      <w:r w:rsidRPr="00712FEF">
        <w:t xml:space="preserve"> hazards.</w:t>
      </w:r>
    </w:p>
    <w:p w14:paraId="58023661" w14:textId="736B2CE4" w:rsidR="00B23BCB" w:rsidRDefault="00F857F1" w:rsidP="00B23BCB">
      <w:pPr>
        <w:rPr>
          <w:b/>
        </w:rPr>
      </w:pPr>
      <w:r>
        <w:rPr>
          <w:b/>
        </w:rPr>
        <w:t>LABORATORY SAFETY COMMITTEE</w:t>
      </w:r>
    </w:p>
    <w:p w14:paraId="0A9BE014" w14:textId="77777777" w:rsidR="00610D55" w:rsidRPr="00712FEF" w:rsidRDefault="00610D55" w:rsidP="00610D55">
      <w:r>
        <w:t xml:space="preserve">ORCIS houses the Laboratory Safety Committee (LSC).  The committee comprises representatives from the administration, staff, and faculty.  The LSC implement policies and procedures related to laboratory safety.  The group met five times in FY21 and finalized one new policy, the Field Work Safety Policy.   The LSC is responsible for reviewing and developing recommendations for accidents, in FY21 there was three minor accidents, one near miss and a case of vandalism reviewed.   The LSC also hears requests related to safety in the laboratory, in FY21 there was one, concerning Chemical fume hoods in Davis Hall.  Capital Improvement related to safety were also heard and evaluated by the LSC.  </w:t>
      </w:r>
    </w:p>
    <w:p w14:paraId="224C03EF" w14:textId="482BB3A2" w:rsidR="00B23BCB" w:rsidRDefault="00F857F1" w:rsidP="00B23BCB">
      <w:pPr>
        <w:rPr>
          <w:b/>
        </w:rPr>
      </w:pPr>
      <w:r>
        <w:rPr>
          <w:b/>
        </w:rPr>
        <w:t>TRAINING</w:t>
      </w:r>
    </w:p>
    <w:p w14:paraId="4743E8F2" w14:textId="32F89B63" w:rsidR="006E647C" w:rsidRPr="00F56A98" w:rsidRDefault="006E647C" w:rsidP="006E647C">
      <w:pPr>
        <w:rPr>
          <w:bCs/>
        </w:rPr>
      </w:pPr>
      <w:r w:rsidRPr="006E647C">
        <w:rPr>
          <w:bCs/>
        </w:rPr>
        <w:t xml:space="preserve"> </w:t>
      </w:r>
      <w:r w:rsidRPr="00F56A98">
        <w:rPr>
          <w:bCs/>
        </w:rPr>
        <w:t>Three virtual general Laboratory safety training sessions were offered in FY 21.</w:t>
      </w:r>
    </w:p>
    <w:p w14:paraId="134C6D06" w14:textId="3DAC4CFA" w:rsidR="006E647C" w:rsidRPr="00F56A98" w:rsidRDefault="006E647C" w:rsidP="006E647C">
      <w:pPr>
        <w:rPr>
          <w:bCs/>
        </w:rPr>
      </w:pPr>
      <w:r w:rsidRPr="00F56A98">
        <w:rPr>
          <w:bCs/>
        </w:rPr>
        <w:t>Approximately 350 individuals were trained.</w:t>
      </w:r>
    </w:p>
    <w:p w14:paraId="75FF423D" w14:textId="3B141B63" w:rsidR="006E647C" w:rsidRDefault="006E647C" w:rsidP="006E647C">
      <w:r>
        <w:t>For general laboratory safety the training breakdowns as follows:</w:t>
      </w:r>
    </w:p>
    <w:p w14:paraId="5C9D0DCD" w14:textId="0D6B791D" w:rsidR="006E647C" w:rsidRDefault="00567D2E" w:rsidP="00567D2E">
      <w:pPr>
        <w:pStyle w:val="ListParagraph"/>
        <w:ind w:left="1440"/>
      </w:pPr>
      <w:r>
        <w:rPr>
          <w:noProof/>
        </w:rPr>
        <w:drawing>
          <wp:anchor distT="0" distB="0" distL="114300" distR="114300" simplePos="0" relativeHeight="251685888" behindDoc="0" locked="0" layoutInCell="1" allowOverlap="1" wp14:anchorId="79DA90B1" wp14:editId="13ED4751">
            <wp:simplePos x="0" y="0"/>
            <wp:positionH relativeFrom="margin">
              <wp:posOffset>238125</wp:posOffset>
            </wp:positionH>
            <wp:positionV relativeFrom="paragraph">
              <wp:posOffset>17780</wp:posOffset>
            </wp:positionV>
            <wp:extent cx="2457450" cy="2028825"/>
            <wp:effectExtent l="0" t="0" r="0" b="9525"/>
            <wp:wrapThrough wrapText="bothSides">
              <wp:wrapPolygon edited="0">
                <wp:start x="0" y="0"/>
                <wp:lineTo x="0" y="21499"/>
                <wp:lineTo x="21433" y="21499"/>
                <wp:lineTo x="21433" y="0"/>
                <wp:lineTo x="0" y="0"/>
              </wp:wrapPolygon>
            </wp:wrapThrough>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6E647C">
        <w:t>NIU Online:</w:t>
      </w:r>
    </w:p>
    <w:p w14:paraId="10276431" w14:textId="08FF9869" w:rsidR="006E647C" w:rsidRDefault="006E647C" w:rsidP="00567D2E">
      <w:pPr>
        <w:pStyle w:val="ListParagraph"/>
        <w:numPr>
          <w:ilvl w:val="0"/>
          <w:numId w:val="18"/>
        </w:numPr>
      </w:pPr>
      <w:r>
        <w:t xml:space="preserve">Chemistry (4 classes per year):  </w:t>
      </w:r>
      <w:r w:rsidR="00567D2E">
        <w:br/>
      </w:r>
      <w:r>
        <w:t>approximately 80 individuals</w:t>
      </w:r>
    </w:p>
    <w:p w14:paraId="523B62CC" w14:textId="5FDE6CCA" w:rsidR="006E647C" w:rsidRDefault="006E647C" w:rsidP="00567D2E">
      <w:pPr>
        <w:pStyle w:val="ListParagraph"/>
        <w:numPr>
          <w:ilvl w:val="0"/>
          <w:numId w:val="18"/>
        </w:numPr>
      </w:pPr>
      <w:r>
        <w:t xml:space="preserve">Engineering (4 classes per year):  </w:t>
      </w:r>
      <w:r w:rsidR="00567D2E">
        <w:br/>
      </w:r>
      <w:r>
        <w:t xml:space="preserve">approximately 80 individuals </w:t>
      </w:r>
    </w:p>
    <w:p w14:paraId="699A1DD4" w14:textId="77777777" w:rsidR="00567D2E" w:rsidRDefault="00567D2E" w:rsidP="00567D2E">
      <w:pPr>
        <w:pStyle w:val="ListParagraph"/>
      </w:pPr>
    </w:p>
    <w:p w14:paraId="4B4A1263" w14:textId="442F6748" w:rsidR="006E647C" w:rsidRDefault="006E647C" w:rsidP="00567D2E">
      <w:pPr>
        <w:pStyle w:val="ListParagraph"/>
      </w:pPr>
      <w:r>
        <w:t>CITI Online Trainings:</w:t>
      </w:r>
    </w:p>
    <w:p w14:paraId="73B0377A" w14:textId="1FB121DD" w:rsidR="006E647C" w:rsidRDefault="006E647C" w:rsidP="00567D2E">
      <w:pPr>
        <w:pStyle w:val="ListParagraph"/>
        <w:numPr>
          <w:ilvl w:val="0"/>
          <w:numId w:val="21"/>
        </w:numPr>
      </w:pPr>
      <w:r>
        <w:t xml:space="preserve">Citi: 99  </w:t>
      </w:r>
    </w:p>
    <w:p w14:paraId="4ED31277" w14:textId="77777777" w:rsidR="00567D2E" w:rsidRDefault="00567D2E" w:rsidP="006E647C"/>
    <w:p w14:paraId="28CABDDE" w14:textId="77777777" w:rsidR="00567D2E" w:rsidRDefault="00567D2E" w:rsidP="006E647C"/>
    <w:p w14:paraId="251E1D5B" w14:textId="77777777" w:rsidR="00567D2E" w:rsidRDefault="00567D2E" w:rsidP="006E647C"/>
    <w:p w14:paraId="4A4D4984" w14:textId="579FB636" w:rsidR="006E647C" w:rsidRDefault="006E647C" w:rsidP="006E647C">
      <w:r>
        <w:t>Most of these trainings are for a mixture of faculty, graduate, and undergraduate students.                                                                                                                                                                                                                                                                                                                                                                                                                          Topic specific training follows:</w:t>
      </w:r>
    </w:p>
    <w:p w14:paraId="120A3315" w14:textId="77777777" w:rsidR="006E647C" w:rsidRDefault="006E647C" w:rsidP="006E647C">
      <w:pPr>
        <w:pStyle w:val="ListParagraph"/>
        <w:numPr>
          <w:ilvl w:val="0"/>
          <w:numId w:val="8"/>
        </w:numPr>
      </w:pPr>
      <w:r>
        <w:t>Bloodborne Pathogen for Physical Therapy, Audiology and Engineering Technology students, online with approximately 75 attendees</w:t>
      </w:r>
    </w:p>
    <w:p w14:paraId="2C567636" w14:textId="77777777" w:rsidR="006E647C" w:rsidRDefault="006E647C" w:rsidP="006E647C">
      <w:pPr>
        <w:pStyle w:val="ListParagraph"/>
        <w:numPr>
          <w:ilvl w:val="0"/>
          <w:numId w:val="8"/>
        </w:numPr>
      </w:pPr>
      <w:r>
        <w:t>Radiation Safety Refresher training online for approximately 20 attendees. attendees.</w:t>
      </w:r>
    </w:p>
    <w:p w14:paraId="43A419E7" w14:textId="3D3246E2" w:rsidR="006E647C" w:rsidRDefault="006E647C">
      <w:pPr>
        <w:rPr>
          <w:b/>
        </w:rPr>
      </w:pPr>
    </w:p>
    <w:p w14:paraId="012367B9" w14:textId="77777777" w:rsidR="00DE5BA6" w:rsidRDefault="00DE5BA6" w:rsidP="006E647C">
      <w:pPr>
        <w:rPr>
          <w:b/>
        </w:rPr>
      </w:pPr>
    </w:p>
    <w:p w14:paraId="243AE9FE" w14:textId="77777777" w:rsidR="00567D2E" w:rsidRDefault="00567D2E" w:rsidP="006E647C">
      <w:pPr>
        <w:rPr>
          <w:b/>
        </w:rPr>
      </w:pPr>
    </w:p>
    <w:p w14:paraId="503857AE" w14:textId="5BCEB677" w:rsidR="00567D2E" w:rsidRDefault="00567D2E" w:rsidP="006E647C">
      <w:pPr>
        <w:rPr>
          <w:b/>
        </w:rPr>
        <w:sectPr w:rsidR="00567D2E" w:rsidSect="006E647C">
          <w:headerReference w:type="even" r:id="rId21"/>
          <w:headerReference w:type="default" r:id="rId22"/>
          <w:footerReference w:type="default" r:id="rId23"/>
          <w:headerReference w:type="first" r:id="rId24"/>
          <w:pgSz w:w="12240" w:h="15840"/>
          <w:pgMar w:top="1440" w:right="1440" w:bottom="1440" w:left="1440" w:header="432" w:footer="720" w:gutter="0"/>
          <w:cols w:space="720"/>
          <w:titlePg/>
          <w:docGrid w:linePitch="360"/>
        </w:sectPr>
      </w:pPr>
    </w:p>
    <w:p w14:paraId="3706E48E" w14:textId="4A4B3E5C" w:rsidR="00B23BCB" w:rsidRDefault="00C80217" w:rsidP="00B23BCB">
      <w:pPr>
        <w:rPr>
          <w:b/>
        </w:rPr>
      </w:pPr>
      <w:r>
        <w:rPr>
          <w:b/>
        </w:rPr>
        <w:t>WASTE DISPOSAL</w:t>
      </w:r>
    </w:p>
    <w:p w14:paraId="0822B215" w14:textId="77777777" w:rsidR="006E647C" w:rsidRDefault="006E647C" w:rsidP="006E647C">
      <w:r>
        <w:t>NIU operates under the Academic Laboratory Rule Subpart K.  In FY21 ORCIS completed the following disposals:</w:t>
      </w:r>
    </w:p>
    <w:p w14:paraId="3616838E" w14:textId="77777777" w:rsidR="006E647C" w:rsidRDefault="006E647C" w:rsidP="006E647C">
      <w:r>
        <w:t>Hazardous Waste:  4649 pounds</w:t>
      </w:r>
    </w:p>
    <w:p w14:paraId="18C1B3B5" w14:textId="77777777" w:rsidR="006E647C" w:rsidRDefault="006E647C" w:rsidP="006E647C">
      <w:pPr>
        <w:rPr>
          <w:b/>
        </w:rPr>
      </w:pPr>
      <w:r>
        <w:t>Nonhazardous Waste: 1458 pounds</w:t>
      </w:r>
    </w:p>
    <w:p w14:paraId="04D9D1BA" w14:textId="32191369" w:rsidR="00B23BCB" w:rsidRDefault="00CD78B4" w:rsidP="00B23BCB">
      <w:pPr>
        <w:rPr>
          <w:b/>
        </w:rPr>
      </w:pPr>
      <w:r>
        <w:rPr>
          <w:b/>
        </w:rPr>
        <w:t xml:space="preserve">INSTITUTIONAL BIOSAFETY COMMITTEE </w:t>
      </w:r>
      <w:r w:rsidR="00B23BCB">
        <w:rPr>
          <w:b/>
        </w:rPr>
        <w:t>(IBC)</w:t>
      </w:r>
    </w:p>
    <w:p w14:paraId="223ABA71" w14:textId="77777777" w:rsidR="006E647C" w:rsidRDefault="006E647C" w:rsidP="006E647C">
      <w:r>
        <w:t>While a portion of Compliance, the IBC is managed by the Laboratory Safety Manager.  The Committee must review all research that uses recombinant DNA, any infectious substance, select biologic agents, human blood, bodily fluids, or any known biohazard.  In FY21 the IBC saw 29 unique submissions as follows:</w:t>
      </w:r>
    </w:p>
    <w:p w14:paraId="50C7B146" w14:textId="77777777" w:rsidR="006E647C" w:rsidRDefault="006E647C" w:rsidP="006E647C">
      <w:pPr>
        <w:pStyle w:val="ListParagraph"/>
        <w:numPr>
          <w:ilvl w:val="0"/>
          <w:numId w:val="9"/>
        </w:numPr>
      </w:pPr>
      <w:r>
        <w:t>Initial Applications: 3</w:t>
      </w:r>
    </w:p>
    <w:p w14:paraId="17E89F2D" w14:textId="77777777" w:rsidR="006E647C" w:rsidRDefault="006E647C" w:rsidP="006E647C">
      <w:pPr>
        <w:pStyle w:val="ListParagraph"/>
        <w:numPr>
          <w:ilvl w:val="0"/>
          <w:numId w:val="9"/>
        </w:numPr>
      </w:pPr>
      <w:r>
        <w:t>Continuations: 21</w:t>
      </w:r>
    </w:p>
    <w:p w14:paraId="522F4588" w14:textId="77777777" w:rsidR="006E647C" w:rsidRDefault="006E647C" w:rsidP="006E647C">
      <w:pPr>
        <w:pStyle w:val="ListParagraph"/>
        <w:numPr>
          <w:ilvl w:val="0"/>
          <w:numId w:val="9"/>
        </w:numPr>
      </w:pPr>
      <w:r>
        <w:t>Triennial reviews: 2</w:t>
      </w:r>
    </w:p>
    <w:p w14:paraId="7A8B577B" w14:textId="77777777" w:rsidR="006E647C" w:rsidRDefault="006E647C" w:rsidP="006E647C">
      <w:pPr>
        <w:pStyle w:val="ListParagraph"/>
        <w:numPr>
          <w:ilvl w:val="0"/>
          <w:numId w:val="9"/>
        </w:numPr>
      </w:pPr>
      <w:r>
        <w:t>Amendments: 1</w:t>
      </w:r>
    </w:p>
    <w:p w14:paraId="4EA80B29" w14:textId="77777777" w:rsidR="006E647C" w:rsidRDefault="006E647C" w:rsidP="006E647C">
      <w:pPr>
        <w:pStyle w:val="ListParagraph"/>
        <w:numPr>
          <w:ilvl w:val="0"/>
          <w:numId w:val="9"/>
        </w:numPr>
      </w:pPr>
      <w:r>
        <w:t>Final Reports:  1</w:t>
      </w:r>
    </w:p>
    <w:p w14:paraId="58F228C7" w14:textId="7C8E57F3" w:rsidR="00B23BCB" w:rsidRDefault="00B23BCB" w:rsidP="00B23BCB">
      <w:r>
        <w:t xml:space="preserve">This committee is mandatory to </w:t>
      </w:r>
      <w:r w:rsidR="00C01C5D">
        <w:t>perform</w:t>
      </w:r>
      <w:r>
        <w:t xml:space="preserve"> this research at NIU.  </w:t>
      </w:r>
    </w:p>
    <w:p w14:paraId="5D1348F6" w14:textId="4F88897F" w:rsidR="00B23BCB" w:rsidRDefault="00DE5BA6" w:rsidP="00B23BCB">
      <w:pPr>
        <w:rPr>
          <w:b/>
        </w:rPr>
      </w:pPr>
      <w:r>
        <w:rPr>
          <w:b/>
        </w:rPr>
        <w:br w:type="column"/>
      </w:r>
      <w:r w:rsidR="00C9584B">
        <w:rPr>
          <w:b/>
        </w:rPr>
        <w:t>RADIATION SAFETY</w:t>
      </w:r>
    </w:p>
    <w:p w14:paraId="651B89A0" w14:textId="394A6DEE" w:rsidR="006E647C" w:rsidRDefault="006E647C" w:rsidP="006E647C">
      <w:r>
        <w:t>NIU research utilizes radioactive materials and x-ray machines.  This requires compliance with the state regulatory agency Illinois Emergency Management Agency (IEMA).  ORICS is also responsible for monitoring and testing instruments.   In FY2</w:t>
      </w:r>
      <w:r w:rsidR="00766845">
        <w:t>1</w:t>
      </w:r>
      <w:r>
        <w:t xml:space="preserve"> the following radiation safety actions were taken:</w:t>
      </w:r>
    </w:p>
    <w:p w14:paraId="6C7BAA7F" w14:textId="77777777" w:rsidR="006E647C" w:rsidRDefault="006E647C" w:rsidP="006E647C">
      <w:pPr>
        <w:pStyle w:val="ListParagraph"/>
        <w:numPr>
          <w:ilvl w:val="0"/>
          <w:numId w:val="11"/>
        </w:numPr>
      </w:pPr>
      <w:r>
        <w:t xml:space="preserve">Leak testing:  16 radioactive sources tested </w:t>
      </w:r>
    </w:p>
    <w:p w14:paraId="5F48AF23" w14:textId="77777777" w:rsidR="006E647C" w:rsidRDefault="006E647C" w:rsidP="006E647C">
      <w:pPr>
        <w:pStyle w:val="ListParagraph"/>
        <w:numPr>
          <w:ilvl w:val="0"/>
          <w:numId w:val="11"/>
        </w:numPr>
      </w:pPr>
      <w:r>
        <w:t>Irradiator Alarm testing:  Quarterly alarm tests</w:t>
      </w:r>
    </w:p>
    <w:p w14:paraId="0273CC3A" w14:textId="77777777" w:rsidR="006E647C" w:rsidRDefault="006E647C" w:rsidP="006E647C">
      <w:pPr>
        <w:pStyle w:val="ListParagraph"/>
        <w:numPr>
          <w:ilvl w:val="0"/>
          <w:numId w:val="11"/>
        </w:numPr>
      </w:pPr>
      <w:r>
        <w:t>Laboratory Radiation:  32 Surveys</w:t>
      </w:r>
    </w:p>
    <w:p w14:paraId="2F6E7FDF" w14:textId="77777777" w:rsidR="006E647C" w:rsidRDefault="006E647C" w:rsidP="006E647C">
      <w:pPr>
        <w:pStyle w:val="ListParagraph"/>
        <w:numPr>
          <w:ilvl w:val="0"/>
          <w:numId w:val="11"/>
        </w:numPr>
      </w:pPr>
      <w:r>
        <w:t>Instrument Collaboration:  17 instruments</w:t>
      </w:r>
    </w:p>
    <w:p w14:paraId="3D2C6DB3" w14:textId="77777777" w:rsidR="006E647C" w:rsidRDefault="006E647C" w:rsidP="006E647C">
      <w:pPr>
        <w:pStyle w:val="ListParagraph"/>
        <w:numPr>
          <w:ilvl w:val="0"/>
          <w:numId w:val="11"/>
        </w:numPr>
      </w:pPr>
      <w:r>
        <w:t>Radiation safety dosimeter badges and rings: 27 people monitored</w:t>
      </w:r>
    </w:p>
    <w:p w14:paraId="6C7934C8" w14:textId="77777777" w:rsidR="006E647C" w:rsidRPr="004123D5" w:rsidRDefault="006E647C" w:rsidP="006E647C">
      <w:pPr>
        <w:pStyle w:val="ListParagraph"/>
        <w:numPr>
          <w:ilvl w:val="0"/>
          <w:numId w:val="11"/>
        </w:numPr>
      </w:pPr>
      <w:r>
        <w:t xml:space="preserve">Badges and rings utilized: 216 </w:t>
      </w:r>
    </w:p>
    <w:p w14:paraId="00EAC4D0" w14:textId="77777777" w:rsidR="006E647C" w:rsidRDefault="006E647C" w:rsidP="006E647C">
      <w:r>
        <w:t>Radiation Safety also involved The Radiation Safety Committee (RSC) who approves applications for research involving radiation.  Applications are reviewed every two years.  Currently, six researchers are authorized to use radioactive material in their research.  X-ray machines - 9 x-ray machines are monitored for state regulatory compliance.</w:t>
      </w:r>
    </w:p>
    <w:p w14:paraId="553BABC5" w14:textId="63E97C51" w:rsidR="00B23BCB" w:rsidRDefault="00180F96" w:rsidP="00B23BCB">
      <w:pPr>
        <w:rPr>
          <w:b/>
        </w:rPr>
      </w:pPr>
      <w:r>
        <w:rPr>
          <w:b/>
        </w:rPr>
        <w:lastRenderedPageBreak/>
        <w:t>LASER SAFETY COMMITTEE</w:t>
      </w:r>
    </w:p>
    <w:p w14:paraId="7E10521A" w14:textId="77777777" w:rsidR="006E647C" w:rsidRPr="004123D5" w:rsidRDefault="006E647C" w:rsidP="006E647C">
      <w:r>
        <w:t xml:space="preserve">There is some research done involving lasers at NIU.  The Laser Safety Committee meets each semester to review laser usage. The lasers are inspected by representatives of the committee annually. Currently nine class 3B or class 4 lasers are monitored for state regulatory compliance. </w:t>
      </w:r>
    </w:p>
    <w:p w14:paraId="5500476E" w14:textId="2EA2A739" w:rsidR="00B23BCB" w:rsidRDefault="00DE5BA6" w:rsidP="00B23BCB">
      <w:pPr>
        <w:rPr>
          <w:b/>
        </w:rPr>
      </w:pPr>
      <w:r>
        <w:rPr>
          <w:b/>
        </w:rPr>
        <w:br w:type="column"/>
      </w:r>
      <w:r w:rsidR="00025AD1">
        <w:rPr>
          <w:b/>
        </w:rPr>
        <w:t>INTERNAL INSPECTIONS</w:t>
      </w:r>
    </w:p>
    <w:p w14:paraId="152882BC" w14:textId="77777777" w:rsidR="006E647C" w:rsidRDefault="006E647C" w:rsidP="006E647C">
      <w:r>
        <w:t xml:space="preserve">In FY21 the Lab Safety Officer inspected 200 labs.    They found approximately 50 violations, of which over 98% were addressed and fixed.  </w:t>
      </w:r>
    </w:p>
    <w:p w14:paraId="3C6A0F3F" w14:textId="77D4044A" w:rsidR="00B23BCB" w:rsidRDefault="00025AD1" w:rsidP="00B23BCB">
      <w:pPr>
        <w:rPr>
          <w:b/>
        </w:rPr>
      </w:pPr>
      <w:r>
        <w:rPr>
          <w:b/>
        </w:rPr>
        <w:t>EXTERNAL INSPECTIONS</w:t>
      </w:r>
    </w:p>
    <w:p w14:paraId="6002ED42" w14:textId="77777777" w:rsidR="006E647C" w:rsidRPr="0018161B" w:rsidRDefault="006E647C" w:rsidP="006E647C">
      <w:r>
        <w:t>Lab Safety assists with federal and state inspections, both announced and unannounced.  There were no external audits in FY21.</w:t>
      </w:r>
    </w:p>
    <w:p w14:paraId="3E238FDC" w14:textId="371F45E7" w:rsidR="00B23BCB" w:rsidRPr="00716004" w:rsidRDefault="00025AD1" w:rsidP="00B23BCB">
      <w:pPr>
        <w:rPr>
          <w:b/>
        </w:rPr>
      </w:pPr>
      <w:r>
        <w:rPr>
          <w:b/>
        </w:rPr>
        <w:t>PROFESSIONAL DEVELOPMENT</w:t>
      </w:r>
    </w:p>
    <w:p w14:paraId="7AED9B48" w14:textId="77777777" w:rsidR="006E647C" w:rsidRDefault="006E647C" w:rsidP="006E647C">
      <w:r>
        <w:t xml:space="preserve">  Attended training and certification for shipping dangerous goods such as chemicals and biologics. The laboratory safety manager also attended Radiation and Nuclear in the Public Consciousness training, controlling threats on campus training, and a session on the FBI response efforts to the COVID-19 pandemic.  </w:t>
      </w:r>
    </w:p>
    <w:p w14:paraId="104892A6" w14:textId="4DC87C8D" w:rsidR="00C01C5D" w:rsidRPr="00DE5BA6" w:rsidRDefault="00DE5BA6" w:rsidP="00B23BCB">
      <w:pPr>
        <w:rPr>
          <w:rFonts w:cstheme="minorHAnsi"/>
          <w:b/>
          <w:bCs/>
          <w:color w:val="000000" w:themeColor="text1"/>
        </w:rPr>
      </w:pPr>
      <w:r w:rsidRPr="00DE5BA6">
        <w:rPr>
          <w:rFonts w:cstheme="minorHAnsi"/>
          <w:b/>
          <w:bCs/>
          <w:color w:val="000000" w:themeColor="text1"/>
        </w:rPr>
        <w:t>OUTREACH</w:t>
      </w:r>
    </w:p>
    <w:p w14:paraId="2196F8F9" w14:textId="77777777" w:rsidR="006E647C" w:rsidRDefault="006E647C" w:rsidP="006E647C">
      <w:r>
        <w:t xml:space="preserve">Beyond the responsibilities enumerated above, ORCIS is also a presence on campus.  In FY21 Dr. Wallace taught three adjunct psychology courses.   Dr. Wallace and Ms. Stoker also served on the Presidential Commission on the Status of Women, Dr. Wallace served on the Institutional Animal Care and Use Committee, and Ms. Stoker served on the Supportive Professional Staff Council as well as the SRAI Research Integrity subgroup. Dr. Wallace attended several social justice workshops on campus, served on a dissertation committee in the department of psychology, served as a judge for the Conference for Undergraduate Research and Engagement, and participated in an invited round table at Elon University. </w:t>
      </w:r>
    </w:p>
    <w:p w14:paraId="341FF5A0" w14:textId="77777777" w:rsidR="00DE5BA6" w:rsidRDefault="00DE5BA6">
      <w:pPr>
        <w:rPr>
          <w:b/>
          <w:sz w:val="28"/>
          <w:szCs w:val="28"/>
        </w:rPr>
        <w:sectPr w:rsidR="00DE5BA6" w:rsidSect="00DE5BA6">
          <w:headerReference w:type="first" r:id="rId25"/>
          <w:footerReference w:type="first" r:id="rId26"/>
          <w:type w:val="continuous"/>
          <w:pgSz w:w="12240" w:h="15840"/>
          <w:pgMar w:top="1440" w:right="1440" w:bottom="1440" w:left="1440" w:header="432" w:footer="720" w:gutter="0"/>
          <w:cols w:num="2" w:sep="1" w:space="720"/>
          <w:titlePg/>
          <w:docGrid w:linePitch="360"/>
        </w:sectPr>
      </w:pPr>
    </w:p>
    <w:p w14:paraId="59E86B0C" w14:textId="73663C30" w:rsidR="00B513B7" w:rsidRDefault="00B513B7">
      <w:pPr>
        <w:rPr>
          <w:b/>
          <w:sz w:val="28"/>
          <w:szCs w:val="28"/>
        </w:rPr>
      </w:pPr>
    </w:p>
    <w:p w14:paraId="1CE0B401" w14:textId="77777777" w:rsidR="00DE5BA6" w:rsidRDefault="00DE5BA6">
      <w:pPr>
        <w:rPr>
          <w:rFonts w:ascii="Cambria" w:hAnsi="Cambria"/>
          <w:bCs/>
          <w:color w:val="C00000"/>
          <w:sz w:val="36"/>
          <w:szCs w:val="36"/>
        </w:rPr>
      </w:pPr>
      <w:r>
        <w:rPr>
          <w:rFonts w:ascii="Cambria" w:hAnsi="Cambria"/>
          <w:bCs/>
          <w:color w:val="C00000"/>
          <w:sz w:val="36"/>
          <w:szCs w:val="36"/>
        </w:rPr>
        <w:br w:type="page"/>
      </w:r>
    </w:p>
    <w:p w14:paraId="46923E35" w14:textId="62861104" w:rsidR="007A1795" w:rsidRPr="00731198" w:rsidRDefault="001C2FC7" w:rsidP="00A80467">
      <w:pPr>
        <w:ind w:left="1530"/>
        <w:rPr>
          <w:rFonts w:ascii="Cambria" w:hAnsi="Cambria"/>
          <w:bCs/>
          <w:color w:val="C00000"/>
          <w:sz w:val="36"/>
          <w:szCs w:val="36"/>
        </w:rPr>
      </w:pPr>
      <w:r>
        <w:rPr>
          <w:rFonts w:ascii="Cambria" w:hAnsi="Cambria"/>
          <w:bCs/>
          <w:color w:val="C00000"/>
          <w:sz w:val="36"/>
          <w:szCs w:val="36"/>
        </w:rPr>
        <w:lastRenderedPageBreak/>
        <w:t xml:space="preserve">CONCLUSION AND OUTLOOK </w:t>
      </w:r>
    </w:p>
    <w:p w14:paraId="3C3DB565" w14:textId="77777777" w:rsidR="00A80467" w:rsidRDefault="00A80467" w:rsidP="00A80467">
      <w:pPr>
        <w:ind w:left="2160"/>
      </w:pPr>
    </w:p>
    <w:p w14:paraId="603E2EDB" w14:textId="77777777" w:rsidR="006E647C" w:rsidRDefault="006E647C" w:rsidP="006E647C"/>
    <w:p w14:paraId="679204B9" w14:textId="5B647545" w:rsidR="007A1795" w:rsidRDefault="006E647C" w:rsidP="006E647C">
      <w:pPr>
        <w:ind w:left="2160"/>
      </w:pPr>
      <w:r>
        <w:t>ORCIS assists the NIU research community in a wide variety of ways.  As a small office with large responsibilities ORCIS is cross trained and assists each other often.  Everything accomplished in FY21 has been a team effort.</w:t>
      </w:r>
      <w:r w:rsidR="007A1795">
        <w:t xml:space="preserve">  </w:t>
      </w:r>
    </w:p>
    <w:p w14:paraId="574D4C13" w14:textId="77777777" w:rsidR="006E647C" w:rsidRDefault="006E647C" w:rsidP="006E647C">
      <w:pPr>
        <w:ind w:left="2160"/>
      </w:pPr>
      <w:r>
        <w:t xml:space="preserve">ORCIS’ goal is always to support research and ensure NIU is complaint with all state and federal regulations.  In FY22 the office hopes to strengthen their online presence, including logging all laboratory inspections in Info Ed, update the </w:t>
      </w:r>
      <w:proofErr w:type="gramStart"/>
      <w:r>
        <w:t>Conflict of Interest</w:t>
      </w:r>
      <w:proofErr w:type="gramEnd"/>
      <w:r>
        <w:t xml:space="preserve"> policy campus wide, and foster a culture of safety. We hope to expand our external presence by increasing the outside organizations we represent NIU in.  Our main goal will be to follow our mission statement:  </w:t>
      </w:r>
    </w:p>
    <w:p w14:paraId="6861D803" w14:textId="5996A4F8" w:rsidR="00A80467" w:rsidRDefault="00A80467" w:rsidP="00A80467">
      <w:pPr>
        <w:ind w:left="2160"/>
      </w:pPr>
      <w:r w:rsidRPr="00567D2E">
        <w:rPr>
          <w:rFonts w:cstheme="minorHAnsi"/>
          <w:b/>
          <w:bCs/>
          <w:i/>
          <w:iCs/>
          <w:noProof/>
          <w:color w:val="C00000"/>
        </w:rPr>
        <mc:AlternateContent>
          <mc:Choice Requires="wps">
            <w:drawing>
              <wp:anchor distT="0" distB="0" distL="114300" distR="114300" simplePos="0" relativeHeight="251684864" behindDoc="0" locked="0" layoutInCell="1" allowOverlap="1" wp14:anchorId="44B9AC0D" wp14:editId="099104E2">
                <wp:simplePos x="0" y="0"/>
                <wp:positionH relativeFrom="column">
                  <wp:posOffset>4591050</wp:posOffset>
                </wp:positionH>
                <wp:positionV relativeFrom="paragraph">
                  <wp:posOffset>523875</wp:posOffset>
                </wp:positionV>
                <wp:extent cx="123825" cy="1238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B1E05" id="Rectangle 24" o:spid="_x0000_s1026" style="position:absolute;margin-left:361.5pt;margin-top:41.2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" fillcolor="#c00000" stroked="f" strokeweight="1pt"/>
            </w:pict>
          </mc:Fallback>
        </mc:AlternateContent>
      </w:r>
      <w:r w:rsidR="00567D2E" w:rsidRPr="00567D2E">
        <w:rPr>
          <w:rFonts w:ascii="Helvetica" w:hAnsi="Helvetica"/>
          <w:i/>
          <w:iCs/>
          <w:color w:val="C00000"/>
          <w:sz w:val="21"/>
          <w:szCs w:val="21"/>
          <w:shd w:val="clear" w:color="auto" w:fill="FFFFFF"/>
        </w:rPr>
        <w:t>Our mission is to assist the NIU research community by advancing the highest standards of ethics, integrity, compliance, and safety in research endeavors.  We strive to promote the best practices through training and oversight with the goal of supporting research at NIU</w:t>
      </w:r>
      <w:r w:rsidR="007A1795">
        <w:t>.</w:t>
      </w:r>
    </w:p>
    <w:sectPr w:rsidR="00A80467" w:rsidSect="008C1298">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2EF8" w14:textId="77777777" w:rsidR="00564986" w:rsidRDefault="00564986" w:rsidP="00F16C10">
      <w:pPr>
        <w:spacing w:after="0" w:line="240" w:lineRule="auto"/>
      </w:pPr>
      <w:r>
        <w:separator/>
      </w:r>
    </w:p>
  </w:endnote>
  <w:endnote w:type="continuationSeparator" w:id="0">
    <w:p w14:paraId="489C3299" w14:textId="77777777" w:rsidR="00564986" w:rsidRDefault="00564986" w:rsidP="00F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77901"/>
      <w:docPartObj>
        <w:docPartGallery w:val="Page Numbers (Bottom of Page)"/>
        <w:docPartUnique/>
      </w:docPartObj>
    </w:sdtPr>
    <w:sdtEndPr>
      <w:rPr>
        <w:noProof/>
      </w:rPr>
    </w:sdtEndPr>
    <w:sdtContent>
      <w:p w14:paraId="74A3E2F8" w14:textId="1AF4F8BF" w:rsidR="00810A83" w:rsidRDefault="00810A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69979" w14:textId="77777777" w:rsidR="00282EDE" w:rsidRDefault="0028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4D65" w14:textId="3E61628C" w:rsidR="00BF567B" w:rsidRDefault="0017137F">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FF12" w14:textId="77777777" w:rsidR="00564986" w:rsidRDefault="00564986" w:rsidP="00F16C10">
      <w:pPr>
        <w:spacing w:after="0" w:line="240" w:lineRule="auto"/>
      </w:pPr>
      <w:r>
        <w:separator/>
      </w:r>
    </w:p>
  </w:footnote>
  <w:footnote w:type="continuationSeparator" w:id="0">
    <w:p w14:paraId="5002DBDC" w14:textId="77777777" w:rsidR="00564986" w:rsidRDefault="00564986" w:rsidP="00F1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04F0" w14:textId="77AB69A6" w:rsidR="00116194" w:rsidRPr="00116194" w:rsidRDefault="00B06A3A">
    <w:pPr>
      <w:pStyle w:val="Header"/>
      <w:rPr>
        <w:color w:val="C00000"/>
      </w:rPr>
    </w:pPr>
    <w:r>
      <w:rPr>
        <w:color w:val="C00000"/>
      </w:rPr>
      <w:t>1</w:t>
    </w:r>
    <w:r w:rsidR="00C95B4B">
      <w:rPr>
        <w:color w:val="C00000"/>
      </w:rPr>
      <w:t>8</w:t>
    </w:r>
    <w:r w:rsidR="00116194" w:rsidRPr="00116194">
      <w:rPr>
        <w:noProof/>
        <w:color w:val="C00000"/>
      </w:rPr>
      <w:t xml:space="preserve">    </w:t>
    </w:r>
    <w:r w:rsidR="00116194" w:rsidRPr="00116194">
      <w:rPr>
        <w:color w:val="C00000"/>
      </w:rPr>
      <w:t>ORCIS Annual Report 2020</w:t>
    </w:r>
  </w:p>
  <w:p w14:paraId="078508F9" w14:textId="77777777" w:rsidR="00116194" w:rsidRDefault="0011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5515" w14:textId="1ECF5989" w:rsidR="00FE79C3" w:rsidRDefault="005328BC" w:rsidP="00D744F8">
    <w:pPr>
      <w:pStyle w:val="Header"/>
      <w:tabs>
        <w:tab w:val="clear" w:pos="4680"/>
        <w:tab w:val="clear" w:pos="9360"/>
        <w:tab w:val="left" w:pos="2950"/>
      </w:tabs>
    </w:pPr>
    <w:sdt>
      <w:sdtPr>
        <w:id w:val="-788206135"/>
        <w:docPartObj>
          <w:docPartGallery w:val="Page Numbers (Top of Page)"/>
          <w:docPartUnique/>
        </w:docPartObj>
      </w:sdtPr>
      <w:sdtEndPr>
        <w:rPr>
          <w:noProof/>
        </w:rPr>
      </w:sdtEndPr>
      <w:sdtContent>
        <w:r w:rsidR="00FE79C3">
          <w:t>ORCIS Annual Report 202</w:t>
        </w:r>
        <w:r w:rsidR="00E24E61">
          <w:t>1</w:t>
        </w:r>
        <w:r w:rsidR="00FE79C3">
          <w:t xml:space="preserve"> </w:t>
        </w:r>
      </w:sdtContent>
    </w:sdt>
    <w:r w:rsidR="00D744F8">
      <w:rPr>
        <w:noProof/>
      </w:rPr>
      <w:tab/>
    </w:r>
  </w:p>
  <w:p w14:paraId="5876329B" w14:textId="43EBFFAC" w:rsidR="00282EDE" w:rsidRDefault="00282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71788"/>
      <w:docPartObj>
        <w:docPartGallery w:val="Page Numbers (Top of Page)"/>
        <w:docPartUnique/>
      </w:docPartObj>
    </w:sdtPr>
    <w:sdtEndPr>
      <w:rPr>
        <w:noProof/>
      </w:rPr>
    </w:sdtEndPr>
    <w:sdtContent>
      <w:p w14:paraId="61A01027" w14:textId="10716129" w:rsidR="00B71E3E" w:rsidRDefault="005328BC">
        <w:pPr>
          <w:pStyle w:val="Header"/>
        </w:pPr>
      </w:p>
    </w:sdtContent>
  </w:sdt>
  <w:p w14:paraId="0FA8B714" w14:textId="77777777" w:rsidR="00282EDE" w:rsidRDefault="00282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8DFB" w14:textId="6CA498E7" w:rsidR="00BF567B" w:rsidRDefault="0017137F">
    <w:pPr>
      <w:pStyle w:val="Header"/>
    </w:pPr>
    <w:r>
      <w:rPr>
        <w:rStyle w:val="PageNumber"/>
      </w:rPr>
      <w:t>ORCIS Annual Report 2020</w:t>
    </w:r>
  </w:p>
  <w:p w14:paraId="53C6AC46" w14:textId="77777777" w:rsidR="00BF567B" w:rsidRDefault="00BF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375"/>
    <w:multiLevelType w:val="hybridMultilevel"/>
    <w:tmpl w:val="DA6055E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5123A84"/>
    <w:multiLevelType w:val="hybridMultilevel"/>
    <w:tmpl w:val="57F25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86197"/>
    <w:multiLevelType w:val="hybridMultilevel"/>
    <w:tmpl w:val="66D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5523"/>
    <w:multiLevelType w:val="hybridMultilevel"/>
    <w:tmpl w:val="CABE787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B7B6E40"/>
    <w:multiLevelType w:val="hybridMultilevel"/>
    <w:tmpl w:val="C10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4527"/>
    <w:multiLevelType w:val="hybridMultilevel"/>
    <w:tmpl w:val="5CA6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425BC"/>
    <w:multiLevelType w:val="hybridMultilevel"/>
    <w:tmpl w:val="9D3A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00850"/>
    <w:multiLevelType w:val="hybridMultilevel"/>
    <w:tmpl w:val="3A8C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140A1"/>
    <w:multiLevelType w:val="hybridMultilevel"/>
    <w:tmpl w:val="4A0A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2C56"/>
    <w:multiLevelType w:val="hybridMultilevel"/>
    <w:tmpl w:val="129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43EC"/>
    <w:multiLevelType w:val="hybridMultilevel"/>
    <w:tmpl w:val="1296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17799"/>
    <w:multiLevelType w:val="hybridMultilevel"/>
    <w:tmpl w:val="15DCF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CA4C07"/>
    <w:multiLevelType w:val="hybridMultilevel"/>
    <w:tmpl w:val="F382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0206D"/>
    <w:multiLevelType w:val="hybridMultilevel"/>
    <w:tmpl w:val="4A32B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5921A6"/>
    <w:multiLevelType w:val="hybridMultilevel"/>
    <w:tmpl w:val="250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30075"/>
    <w:multiLevelType w:val="hybridMultilevel"/>
    <w:tmpl w:val="4FC48E40"/>
    <w:lvl w:ilvl="0" w:tplc="3F8E91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B4F"/>
    <w:multiLevelType w:val="hybridMultilevel"/>
    <w:tmpl w:val="0B2E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C0FC5"/>
    <w:multiLevelType w:val="hybridMultilevel"/>
    <w:tmpl w:val="7880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433475"/>
    <w:multiLevelType w:val="hybridMultilevel"/>
    <w:tmpl w:val="4876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84B81"/>
    <w:multiLevelType w:val="hybridMultilevel"/>
    <w:tmpl w:val="BCA2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170AC"/>
    <w:multiLevelType w:val="hybridMultilevel"/>
    <w:tmpl w:val="7728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19"/>
  </w:num>
  <w:num w:numId="5">
    <w:abstractNumId w:val="8"/>
  </w:num>
  <w:num w:numId="6">
    <w:abstractNumId w:val="4"/>
  </w:num>
  <w:num w:numId="7">
    <w:abstractNumId w:val="6"/>
  </w:num>
  <w:num w:numId="8">
    <w:abstractNumId w:val="16"/>
  </w:num>
  <w:num w:numId="9">
    <w:abstractNumId w:val="12"/>
  </w:num>
  <w:num w:numId="10">
    <w:abstractNumId w:val="14"/>
  </w:num>
  <w:num w:numId="11">
    <w:abstractNumId w:val="9"/>
  </w:num>
  <w:num w:numId="12">
    <w:abstractNumId w:val="10"/>
  </w:num>
  <w:num w:numId="13">
    <w:abstractNumId w:val="5"/>
  </w:num>
  <w:num w:numId="14">
    <w:abstractNumId w:val="18"/>
  </w:num>
  <w:num w:numId="15">
    <w:abstractNumId w:val="2"/>
  </w:num>
  <w:num w:numId="16">
    <w:abstractNumId w:val="1"/>
  </w:num>
  <w:num w:numId="17">
    <w:abstractNumId w:val="17"/>
  </w:num>
  <w:num w:numId="18">
    <w:abstractNumId w:val="3"/>
  </w:num>
  <w:num w:numId="19">
    <w:abstractNumId w:val="1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58"/>
    <w:rsid w:val="000144A7"/>
    <w:rsid w:val="00025AD1"/>
    <w:rsid w:val="000636E4"/>
    <w:rsid w:val="00067C34"/>
    <w:rsid w:val="00076A46"/>
    <w:rsid w:val="000A3CCA"/>
    <w:rsid w:val="000C1753"/>
    <w:rsid w:val="000C5FCC"/>
    <w:rsid w:val="000E0DCB"/>
    <w:rsid w:val="000E5D86"/>
    <w:rsid w:val="000F2080"/>
    <w:rsid w:val="000F2513"/>
    <w:rsid w:val="00106CB9"/>
    <w:rsid w:val="00116194"/>
    <w:rsid w:val="00117E4B"/>
    <w:rsid w:val="00121F4A"/>
    <w:rsid w:val="0017137F"/>
    <w:rsid w:val="00173FB3"/>
    <w:rsid w:val="00180F96"/>
    <w:rsid w:val="0019772E"/>
    <w:rsid w:val="001C2FC7"/>
    <w:rsid w:val="001D7917"/>
    <w:rsid w:val="001E782D"/>
    <w:rsid w:val="001F079D"/>
    <w:rsid w:val="001F442C"/>
    <w:rsid w:val="00202BBF"/>
    <w:rsid w:val="0020537C"/>
    <w:rsid w:val="00266651"/>
    <w:rsid w:val="00282EDE"/>
    <w:rsid w:val="002C68F5"/>
    <w:rsid w:val="00373E7F"/>
    <w:rsid w:val="003B55C1"/>
    <w:rsid w:val="003D5BFE"/>
    <w:rsid w:val="00404D4A"/>
    <w:rsid w:val="00423F60"/>
    <w:rsid w:val="004402FF"/>
    <w:rsid w:val="004436CE"/>
    <w:rsid w:val="004477B5"/>
    <w:rsid w:val="004544EF"/>
    <w:rsid w:val="004545A3"/>
    <w:rsid w:val="00456F43"/>
    <w:rsid w:val="004636CD"/>
    <w:rsid w:val="0049076C"/>
    <w:rsid w:val="004B3EE0"/>
    <w:rsid w:val="004B5A2F"/>
    <w:rsid w:val="004F013B"/>
    <w:rsid w:val="005328BC"/>
    <w:rsid w:val="005424FE"/>
    <w:rsid w:val="00564986"/>
    <w:rsid w:val="00567D2E"/>
    <w:rsid w:val="00575FB5"/>
    <w:rsid w:val="005D529F"/>
    <w:rsid w:val="005F685C"/>
    <w:rsid w:val="006106DF"/>
    <w:rsid w:val="00610D55"/>
    <w:rsid w:val="00616EBD"/>
    <w:rsid w:val="00623E39"/>
    <w:rsid w:val="00626C21"/>
    <w:rsid w:val="0064703A"/>
    <w:rsid w:val="006578AE"/>
    <w:rsid w:val="0069080A"/>
    <w:rsid w:val="006A08C6"/>
    <w:rsid w:val="006C7BEB"/>
    <w:rsid w:val="006E647C"/>
    <w:rsid w:val="006E7A84"/>
    <w:rsid w:val="00723309"/>
    <w:rsid w:val="00730C46"/>
    <w:rsid w:val="00731198"/>
    <w:rsid w:val="007353B7"/>
    <w:rsid w:val="007360F3"/>
    <w:rsid w:val="0074293B"/>
    <w:rsid w:val="007431BE"/>
    <w:rsid w:val="00744D7E"/>
    <w:rsid w:val="007625C9"/>
    <w:rsid w:val="00766845"/>
    <w:rsid w:val="007A1795"/>
    <w:rsid w:val="007D04DF"/>
    <w:rsid w:val="007D1615"/>
    <w:rsid w:val="007F3EEA"/>
    <w:rsid w:val="00805858"/>
    <w:rsid w:val="00810A83"/>
    <w:rsid w:val="008145CA"/>
    <w:rsid w:val="008355F4"/>
    <w:rsid w:val="0084408E"/>
    <w:rsid w:val="00855E90"/>
    <w:rsid w:val="00856AF6"/>
    <w:rsid w:val="00883436"/>
    <w:rsid w:val="008979DF"/>
    <w:rsid w:val="008A11ED"/>
    <w:rsid w:val="008C1298"/>
    <w:rsid w:val="008C23F7"/>
    <w:rsid w:val="008F07AF"/>
    <w:rsid w:val="008F73BD"/>
    <w:rsid w:val="00914D6A"/>
    <w:rsid w:val="0096126D"/>
    <w:rsid w:val="00974CE4"/>
    <w:rsid w:val="009A2C92"/>
    <w:rsid w:val="009B31B1"/>
    <w:rsid w:val="009E1E13"/>
    <w:rsid w:val="00A11C67"/>
    <w:rsid w:val="00A20F00"/>
    <w:rsid w:val="00A21739"/>
    <w:rsid w:val="00A416A6"/>
    <w:rsid w:val="00A55523"/>
    <w:rsid w:val="00A80467"/>
    <w:rsid w:val="00A832AF"/>
    <w:rsid w:val="00A87E9C"/>
    <w:rsid w:val="00A97B92"/>
    <w:rsid w:val="00AB2C77"/>
    <w:rsid w:val="00AC2ED2"/>
    <w:rsid w:val="00AC3389"/>
    <w:rsid w:val="00AC7E42"/>
    <w:rsid w:val="00AD7645"/>
    <w:rsid w:val="00AF1BC9"/>
    <w:rsid w:val="00B06A3A"/>
    <w:rsid w:val="00B10950"/>
    <w:rsid w:val="00B23BCB"/>
    <w:rsid w:val="00B513B7"/>
    <w:rsid w:val="00B659EF"/>
    <w:rsid w:val="00B71E3E"/>
    <w:rsid w:val="00B732BF"/>
    <w:rsid w:val="00BD32C4"/>
    <w:rsid w:val="00BE30F4"/>
    <w:rsid w:val="00BF567B"/>
    <w:rsid w:val="00C01C5D"/>
    <w:rsid w:val="00C56156"/>
    <w:rsid w:val="00C80217"/>
    <w:rsid w:val="00C9584B"/>
    <w:rsid w:val="00C95B4B"/>
    <w:rsid w:val="00CD718F"/>
    <w:rsid w:val="00CD78B4"/>
    <w:rsid w:val="00CE62D7"/>
    <w:rsid w:val="00D14FB5"/>
    <w:rsid w:val="00D15006"/>
    <w:rsid w:val="00D52E17"/>
    <w:rsid w:val="00D744F8"/>
    <w:rsid w:val="00D82FAF"/>
    <w:rsid w:val="00D92E90"/>
    <w:rsid w:val="00DE5BA6"/>
    <w:rsid w:val="00E24E61"/>
    <w:rsid w:val="00E5784B"/>
    <w:rsid w:val="00E6361D"/>
    <w:rsid w:val="00E85612"/>
    <w:rsid w:val="00E93585"/>
    <w:rsid w:val="00E956E1"/>
    <w:rsid w:val="00F14D7A"/>
    <w:rsid w:val="00F16C10"/>
    <w:rsid w:val="00F25478"/>
    <w:rsid w:val="00F7785B"/>
    <w:rsid w:val="00F806D3"/>
    <w:rsid w:val="00F857F1"/>
    <w:rsid w:val="00FA2C63"/>
    <w:rsid w:val="00FB022C"/>
    <w:rsid w:val="00FE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00E9"/>
  <w15:docId w15:val="{C11076F6-1B89-4196-B831-8552F81C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3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58"/>
    <w:pPr>
      <w:ind w:left="720"/>
      <w:contextualSpacing/>
    </w:pPr>
  </w:style>
  <w:style w:type="paragraph" w:styleId="BalloonText">
    <w:name w:val="Balloon Text"/>
    <w:basedOn w:val="Normal"/>
    <w:link w:val="BalloonTextChar"/>
    <w:uiPriority w:val="99"/>
    <w:semiHidden/>
    <w:unhideWhenUsed/>
    <w:rsid w:val="004436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6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36CE"/>
    <w:rPr>
      <w:sz w:val="16"/>
      <w:szCs w:val="16"/>
    </w:rPr>
  </w:style>
  <w:style w:type="paragraph" w:styleId="CommentText">
    <w:name w:val="annotation text"/>
    <w:basedOn w:val="Normal"/>
    <w:link w:val="CommentTextChar"/>
    <w:uiPriority w:val="99"/>
    <w:semiHidden/>
    <w:unhideWhenUsed/>
    <w:rsid w:val="004436CE"/>
    <w:pPr>
      <w:spacing w:line="240" w:lineRule="auto"/>
    </w:pPr>
    <w:rPr>
      <w:sz w:val="20"/>
      <w:szCs w:val="20"/>
    </w:rPr>
  </w:style>
  <w:style w:type="character" w:customStyle="1" w:styleId="CommentTextChar">
    <w:name w:val="Comment Text Char"/>
    <w:basedOn w:val="DefaultParagraphFont"/>
    <w:link w:val="CommentText"/>
    <w:uiPriority w:val="99"/>
    <w:semiHidden/>
    <w:rsid w:val="004436CE"/>
    <w:rPr>
      <w:sz w:val="20"/>
      <w:szCs w:val="20"/>
    </w:rPr>
  </w:style>
  <w:style w:type="paragraph" w:styleId="CommentSubject">
    <w:name w:val="annotation subject"/>
    <w:basedOn w:val="CommentText"/>
    <w:next w:val="CommentText"/>
    <w:link w:val="CommentSubjectChar"/>
    <w:uiPriority w:val="99"/>
    <w:semiHidden/>
    <w:unhideWhenUsed/>
    <w:rsid w:val="004436CE"/>
    <w:rPr>
      <w:b/>
      <w:bCs/>
    </w:rPr>
  </w:style>
  <w:style w:type="character" w:customStyle="1" w:styleId="CommentSubjectChar">
    <w:name w:val="Comment Subject Char"/>
    <w:basedOn w:val="CommentTextChar"/>
    <w:link w:val="CommentSubject"/>
    <w:uiPriority w:val="99"/>
    <w:semiHidden/>
    <w:rsid w:val="004436CE"/>
    <w:rPr>
      <w:b/>
      <w:bCs/>
      <w:sz w:val="20"/>
      <w:szCs w:val="20"/>
    </w:rPr>
  </w:style>
  <w:style w:type="paragraph" w:styleId="Header">
    <w:name w:val="header"/>
    <w:basedOn w:val="Normal"/>
    <w:link w:val="HeaderChar"/>
    <w:uiPriority w:val="99"/>
    <w:unhideWhenUsed/>
    <w:rsid w:val="00F1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C10"/>
  </w:style>
  <w:style w:type="paragraph" w:styleId="Footer">
    <w:name w:val="footer"/>
    <w:basedOn w:val="Normal"/>
    <w:link w:val="FooterChar"/>
    <w:uiPriority w:val="99"/>
    <w:unhideWhenUsed/>
    <w:rsid w:val="00F1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C10"/>
  </w:style>
  <w:style w:type="character" w:customStyle="1" w:styleId="Heading1Char">
    <w:name w:val="Heading 1 Char"/>
    <w:basedOn w:val="DefaultParagraphFont"/>
    <w:link w:val="Heading1"/>
    <w:uiPriority w:val="9"/>
    <w:rsid w:val="001F0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23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F7"/>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17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chart" Target="charts/chart4.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Submissions</a:t>
            </a:r>
          </a:p>
        </c:rich>
      </c:tx>
      <c:layout>
        <c:manualLayout>
          <c:xMode val="edge"/>
          <c:yMode val="edge"/>
          <c:x val="0.41068861184018662"/>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Exempt</c:v>
                </c:pt>
              </c:strCache>
            </c:strRef>
          </c:tx>
          <c:spPr>
            <a:solidFill>
              <a:schemeClr val="tx1">
                <a:lumMod val="65000"/>
                <a:lumOff val="35000"/>
              </a:schemeClr>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Sheet1!$B$2:$B$4</c:f>
              <c:numCache>
                <c:formatCode>General</c:formatCode>
                <c:ptCount val="3"/>
                <c:pt idx="0">
                  <c:v>111</c:v>
                </c:pt>
              </c:numCache>
            </c:numRef>
          </c:val>
          <c:extLst>
            <c:ext xmlns:c16="http://schemas.microsoft.com/office/drawing/2014/chart" uri="{C3380CC4-5D6E-409C-BE32-E72D297353CC}">
              <c16:uniqueId val="{00000000-A27F-4703-888A-8FBF02AFFAAD}"/>
            </c:ext>
          </c:extLst>
        </c:ser>
        <c:ser>
          <c:idx val="1"/>
          <c:order val="1"/>
          <c:tx>
            <c:strRef>
              <c:f>Sheet1!$C$1</c:f>
              <c:strCache>
                <c:ptCount val="1"/>
                <c:pt idx="0">
                  <c:v>Expedited</c:v>
                </c:pt>
              </c:strCache>
            </c:strRef>
          </c:tx>
          <c:spPr>
            <a:solidFill>
              <a:schemeClr val="bg2">
                <a:lumMod val="90000"/>
              </a:schemeClr>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Sheet1!$C$2:$C$4</c:f>
              <c:numCache>
                <c:formatCode>General</c:formatCode>
                <c:ptCount val="3"/>
                <c:pt idx="0">
                  <c:v>182</c:v>
                </c:pt>
              </c:numCache>
            </c:numRef>
          </c:val>
          <c:extLst>
            <c:ext xmlns:c16="http://schemas.microsoft.com/office/drawing/2014/chart" uri="{C3380CC4-5D6E-409C-BE32-E72D297353CC}">
              <c16:uniqueId val="{00000001-A27F-4703-888A-8FBF02AFFAAD}"/>
            </c:ext>
          </c:extLst>
        </c:ser>
        <c:ser>
          <c:idx val="2"/>
          <c:order val="2"/>
          <c:tx>
            <c:strRef>
              <c:f>Sheet1!$D$1</c:f>
              <c:strCache>
                <c:ptCount val="1"/>
                <c:pt idx="0">
                  <c:v>Full Board</c:v>
                </c:pt>
              </c:strCache>
            </c:strRef>
          </c:tx>
          <c:spPr>
            <a:solidFill>
              <a:schemeClr val="accent3"/>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Sheet1!$D$2:$D$4</c:f>
              <c:numCache>
                <c:formatCode>General</c:formatCode>
                <c:ptCount val="3"/>
                <c:pt idx="0">
                  <c:v>11</c:v>
                </c:pt>
              </c:numCache>
            </c:numRef>
          </c:val>
          <c:extLst>
            <c:ext xmlns:c16="http://schemas.microsoft.com/office/drawing/2014/chart" uri="{C3380CC4-5D6E-409C-BE32-E72D297353CC}">
              <c16:uniqueId val="{00000002-A27F-4703-888A-8FBF02AFFAAD}"/>
            </c:ext>
          </c:extLst>
        </c:ser>
        <c:ser>
          <c:idx val="3"/>
          <c:order val="3"/>
          <c:tx>
            <c:strRef>
              <c:f>Sheet1!$E$1</c:f>
              <c:strCache>
                <c:ptCount val="1"/>
                <c:pt idx="0">
                  <c:v>Collaborative Agreements</c:v>
                </c:pt>
              </c:strCache>
            </c:strRef>
          </c:tx>
          <c:spPr>
            <a:solidFill>
              <a:srgbClr val="C00000"/>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Sheet1!$E$2:$E$4</c:f>
              <c:numCache>
                <c:formatCode>General</c:formatCode>
                <c:ptCount val="3"/>
                <c:pt idx="0">
                  <c:v>13</c:v>
                </c:pt>
              </c:numCache>
            </c:numRef>
          </c:val>
          <c:extLst>
            <c:ext xmlns:c16="http://schemas.microsoft.com/office/drawing/2014/chart" uri="{C3380CC4-5D6E-409C-BE32-E72D297353CC}">
              <c16:uniqueId val="{00000004-A27F-4703-888A-8FBF02AFFAAD}"/>
            </c:ext>
          </c:extLst>
        </c:ser>
        <c:ser>
          <c:idx val="4"/>
          <c:order val="4"/>
          <c:tx>
            <c:strRef>
              <c:f>Sheet1!$F$1</c:f>
              <c:strCache>
                <c:ptCount val="1"/>
                <c:pt idx="0">
                  <c:v>Screening Forms</c:v>
                </c:pt>
              </c:strCache>
            </c:strRef>
          </c:tx>
          <c:spPr>
            <a:solidFill>
              <a:schemeClr val="bg1">
                <a:lumMod val="50000"/>
              </a:schemeClr>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Sheet1!$F$2:$F$4</c:f>
              <c:numCache>
                <c:formatCode>General</c:formatCode>
                <c:ptCount val="3"/>
                <c:pt idx="0">
                  <c:v>18</c:v>
                </c:pt>
              </c:numCache>
            </c:numRef>
          </c:val>
          <c:extLst>
            <c:ext xmlns:c16="http://schemas.microsoft.com/office/drawing/2014/chart" uri="{C3380CC4-5D6E-409C-BE32-E72D297353CC}">
              <c16:uniqueId val="{00000005-A27F-4703-888A-8FBF02AFFAAD}"/>
            </c:ext>
          </c:extLst>
        </c:ser>
        <c:ser>
          <c:idx val="5"/>
          <c:order val="5"/>
          <c:tx>
            <c:strRef>
              <c:f>Sheet1!$G$1</c:f>
              <c:strCache>
                <c:ptCount val="1"/>
                <c:pt idx="0">
                  <c:v>Administrative Review</c:v>
                </c:pt>
              </c:strCache>
            </c:strRef>
          </c:tx>
          <c:spPr>
            <a:solidFill>
              <a:srgbClr val="C00000"/>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Sheet1!$G$2:$G$4</c:f>
              <c:numCache>
                <c:formatCode>General</c:formatCode>
                <c:ptCount val="3"/>
                <c:pt idx="1">
                  <c:v>153</c:v>
                </c:pt>
                <c:pt idx="2">
                  <c:v>69</c:v>
                </c:pt>
              </c:numCache>
            </c:numRef>
          </c:val>
          <c:extLst>
            <c:ext xmlns:c16="http://schemas.microsoft.com/office/drawing/2014/chart" uri="{C3380CC4-5D6E-409C-BE32-E72D297353CC}">
              <c16:uniqueId val="{00000006-A27F-4703-888A-8FBF02AFFAAD}"/>
            </c:ext>
          </c:extLst>
        </c:ser>
        <c:ser>
          <c:idx val="6"/>
          <c:order val="6"/>
          <c:tx>
            <c:strRef>
              <c:f>Sheet1!$H$1</c:f>
              <c:strCache>
                <c:ptCount val="1"/>
                <c:pt idx="0">
                  <c:v>Member Review</c:v>
                </c:pt>
              </c:strCache>
            </c:strRef>
          </c:tx>
          <c:spPr>
            <a:solidFill>
              <a:schemeClr val="tx1">
                <a:lumMod val="50000"/>
                <a:lumOff val="50000"/>
              </a:schemeClr>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Sheet1!$H$2:$H$4</c:f>
              <c:numCache>
                <c:formatCode>General</c:formatCode>
                <c:ptCount val="3"/>
                <c:pt idx="1">
                  <c:v>11</c:v>
                </c:pt>
                <c:pt idx="2">
                  <c:v>115</c:v>
                </c:pt>
              </c:numCache>
            </c:numRef>
          </c:val>
          <c:extLst>
            <c:ext xmlns:c16="http://schemas.microsoft.com/office/drawing/2014/chart" uri="{C3380CC4-5D6E-409C-BE32-E72D297353CC}">
              <c16:uniqueId val="{00000007-A27F-4703-888A-8FBF02AFFAAD}"/>
            </c:ext>
          </c:extLst>
        </c:ser>
        <c:ser>
          <c:idx val="7"/>
          <c:order val="7"/>
          <c:tx>
            <c:strRef>
              <c:f>Sheet1!$I$1</c:f>
              <c:strCache>
                <c:ptCount val="1"/>
                <c:pt idx="0">
                  <c:v>Full Board Review</c:v>
                </c:pt>
              </c:strCache>
            </c:strRef>
          </c:tx>
          <c:spPr>
            <a:solidFill>
              <a:schemeClr val="tx1"/>
            </a:solidFill>
            <a:ln>
              <a:noFill/>
            </a:ln>
            <a:effectLst/>
            <a:sp3d/>
          </c:spPr>
          <c:invertIfNegative val="0"/>
          <c:cat>
            <c:strRef>
              <c:f>Sheet1!$A$2:$A$4</c:f>
              <c:strCache>
                <c:ptCount val="3"/>
                <c:pt idx="0">
                  <c:v>Initial Submissions (New proposals)</c:v>
                </c:pt>
                <c:pt idx="1">
                  <c:v>Continuation Submissions</c:v>
                </c:pt>
                <c:pt idx="2">
                  <c:v>Amendment Submissions</c:v>
                </c:pt>
              </c:strCache>
            </c:strRef>
          </c:cat>
          <c:val>
            <c:numRef>
              <c:f>Sheet1!$I$2:$I$4</c:f>
              <c:numCache>
                <c:formatCode>General</c:formatCode>
                <c:ptCount val="3"/>
                <c:pt idx="1">
                  <c:v>8</c:v>
                </c:pt>
                <c:pt idx="2">
                  <c:v>0</c:v>
                </c:pt>
              </c:numCache>
            </c:numRef>
          </c:val>
          <c:extLst>
            <c:ext xmlns:c16="http://schemas.microsoft.com/office/drawing/2014/chart" uri="{C3380CC4-5D6E-409C-BE32-E72D297353CC}">
              <c16:uniqueId val="{00000008-A27F-4703-888A-8FBF02AFFAAD}"/>
            </c:ext>
          </c:extLst>
        </c:ser>
        <c:dLbls>
          <c:showLegendKey val="0"/>
          <c:showVal val="0"/>
          <c:showCatName val="0"/>
          <c:showSerName val="0"/>
          <c:showPercent val="0"/>
          <c:showBubbleSize val="0"/>
        </c:dLbls>
        <c:gapWidth val="150"/>
        <c:shape val="box"/>
        <c:axId val="1338455616"/>
        <c:axId val="1338508592"/>
        <c:axId val="0"/>
      </c:bar3DChart>
      <c:catAx>
        <c:axId val="1338455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508592"/>
        <c:crosses val="autoZero"/>
        <c:auto val="1"/>
        <c:lblAlgn val="ctr"/>
        <c:lblOffset val="100"/>
        <c:noMultiLvlLbl val="0"/>
      </c:catAx>
      <c:valAx>
        <c:axId val="133850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455616"/>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Trainings</c:v>
                </c:pt>
              </c:strCache>
            </c:strRef>
          </c:tx>
          <c:spPr>
            <a:solidFill>
              <a:srgbClr val="C00000"/>
            </a:solidFill>
            <a:ln>
              <a:noFill/>
            </a:ln>
            <a:effectLst/>
            <a:sp3d/>
          </c:spPr>
          <c:invertIfNegative val="0"/>
          <c:cat>
            <c:strRef>
              <c:f>Sheet1!$A$2:$A$5</c:f>
              <c:strCache>
                <c:ptCount val="4"/>
                <c:pt idx="0">
                  <c:v>ADR Trainings</c:v>
                </c:pt>
                <c:pt idx="1">
                  <c:v>In-Person Trainings</c:v>
                </c:pt>
                <c:pt idx="2">
                  <c:v>Online Custom Presentation</c:v>
                </c:pt>
                <c:pt idx="3">
                  <c:v>Citi Online Training</c:v>
                </c:pt>
              </c:strCache>
            </c:strRef>
          </c:cat>
          <c:val>
            <c:numRef>
              <c:f>Sheet1!$B$2:$B$5</c:f>
              <c:numCache>
                <c:formatCode>General</c:formatCode>
                <c:ptCount val="4"/>
                <c:pt idx="0">
                  <c:v>101</c:v>
                </c:pt>
                <c:pt idx="1">
                  <c:v>0</c:v>
                </c:pt>
                <c:pt idx="2">
                  <c:v>261</c:v>
                </c:pt>
                <c:pt idx="3">
                  <c:v>878</c:v>
                </c:pt>
              </c:numCache>
            </c:numRef>
          </c:val>
          <c:extLst>
            <c:ext xmlns:c16="http://schemas.microsoft.com/office/drawing/2014/chart" uri="{C3380CC4-5D6E-409C-BE32-E72D297353CC}">
              <c16:uniqueId val="{00000000-33E7-466E-9173-025EE8D60729}"/>
            </c:ext>
          </c:extLst>
        </c:ser>
        <c:dLbls>
          <c:showLegendKey val="0"/>
          <c:showVal val="0"/>
          <c:showCatName val="0"/>
          <c:showSerName val="0"/>
          <c:showPercent val="0"/>
          <c:showBubbleSize val="0"/>
        </c:dLbls>
        <c:gapWidth val="150"/>
        <c:shape val="box"/>
        <c:axId val="1515808704"/>
        <c:axId val="1132530400"/>
        <c:axId val="0"/>
      </c:bar3DChart>
      <c:catAx>
        <c:axId val="1515808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530400"/>
        <c:crosses val="autoZero"/>
        <c:auto val="1"/>
        <c:lblAlgn val="ctr"/>
        <c:lblOffset val="100"/>
        <c:noMultiLvlLbl val="0"/>
      </c:catAx>
      <c:valAx>
        <c:axId val="113253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58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Applications</c:v>
                </c:pt>
              </c:strCache>
            </c:strRef>
          </c:tx>
          <c:spPr>
            <a:solidFill>
              <a:srgbClr val="C00000"/>
            </a:solidFill>
            <a:ln>
              <a:noFill/>
            </a:ln>
            <a:effectLst/>
            <a:sp3d/>
          </c:spPr>
          <c:invertIfNegative val="0"/>
          <c:cat>
            <c:strRef>
              <c:f>Sheet1!$A$2:$A$6</c:f>
              <c:strCache>
                <c:ptCount val="5"/>
                <c:pt idx="0">
                  <c:v>Initial Applications</c:v>
                </c:pt>
                <c:pt idx="1">
                  <c:v>Continuations</c:v>
                </c:pt>
                <c:pt idx="2">
                  <c:v>Triennials</c:v>
                </c:pt>
                <c:pt idx="3">
                  <c:v>Amendments</c:v>
                </c:pt>
                <c:pt idx="4">
                  <c:v>Final Reports</c:v>
                </c:pt>
              </c:strCache>
            </c:strRef>
          </c:cat>
          <c:val>
            <c:numRef>
              <c:f>Sheet1!$B$2:$B$6</c:f>
              <c:numCache>
                <c:formatCode>General</c:formatCode>
                <c:ptCount val="5"/>
                <c:pt idx="0">
                  <c:v>6</c:v>
                </c:pt>
                <c:pt idx="1">
                  <c:v>22</c:v>
                </c:pt>
                <c:pt idx="2">
                  <c:v>7</c:v>
                </c:pt>
                <c:pt idx="3">
                  <c:v>12</c:v>
                </c:pt>
                <c:pt idx="4">
                  <c:v>7</c:v>
                </c:pt>
              </c:numCache>
            </c:numRef>
          </c:val>
          <c:extLst>
            <c:ext xmlns:c16="http://schemas.microsoft.com/office/drawing/2014/chart" uri="{C3380CC4-5D6E-409C-BE32-E72D297353CC}">
              <c16:uniqueId val="{00000000-8E3F-497C-BF17-0A7581A96F17}"/>
            </c:ext>
          </c:extLst>
        </c:ser>
        <c:dLbls>
          <c:showLegendKey val="0"/>
          <c:showVal val="0"/>
          <c:showCatName val="0"/>
          <c:showSerName val="0"/>
          <c:showPercent val="0"/>
          <c:showBubbleSize val="0"/>
        </c:dLbls>
        <c:gapWidth val="150"/>
        <c:shape val="box"/>
        <c:axId val="1338469216"/>
        <c:axId val="1338485712"/>
        <c:axId val="0"/>
      </c:bar3DChart>
      <c:catAx>
        <c:axId val="1338469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485712"/>
        <c:crosses val="autoZero"/>
        <c:auto val="1"/>
        <c:lblAlgn val="ctr"/>
        <c:lblOffset val="100"/>
        <c:noMultiLvlLbl val="0"/>
      </c:catAx>
      <c:valAx>
        <c:axId val="133848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469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Screenings and Assessments</c:v>
                </c:pt>
              </c:strCache>
            </c:strRef>
          </c:tx>
          <c:spPr>
            <a:solidFill>
              <a:srgbClr val="C00000"/>
            </a:solidFill>
            <a:ln>
              <a:solidFill>
                <a:srgbClr val="C00000"/>
              </a:solidFill>
            </a:ln>
            <a:effectLst/>
          </c:spPr>
          <c:invertIfNegative val="0"/>
          <c:cat>
            <c:strRef>
              <c:f>Sheet1!$A$2:$A$5</c:f>
              <c:strCache>
                <c:ptCount val="4"/>
                <c:pt idx="0">
                  <c:v>Restricted Parties Lists</c:v>
                </c:pt>
                <c:pt idx="1">
                  <c:v>Restricted Parties Lists Adhoc</c:v>
                </c:pt>
                <c:pt idx="2">
                  <c:v>Travel Applications</c:v>
                </c:pt>
                <c:pt idx="3">
                  <c:v>Contracts Reviewed</c:v>
                </c:pt>
              </c:strCache>
            </c:strRef>
          </c:cat>
          <c:val>
            <c:numRef>
              <c:f>Sheet1!$B$2:$B$5</c:f>
              <c:numCache>
                <c:formatCode>General</c:formatCode>
                <c:ptCount val="4"/>
                <c:pt idx="0">
                  <c:v>376</c:v>
                </c:pt>
                <c:pt idx="1">
                  <c:v>48</c:v>
                </c:pt>
                <c:pt idx="2">
                  <c:v>18</c:v>
                </c:pt>
                <c:pt idx="3">
                  <c:v>6</c:v>
                </c:pt>
              </c:numCache>
            </c:numRef>
          </c:val>
          <c:extLst>
            <c:ext xmlns:c16="http://schemas.microsoft.com/office/drawing/2014/chart" uri="{C3380CC4-5D6E-409C-BE32-E72D297353CC}">
              <c16:uniqueId val="{00000000-2475-465A-9D58-6280B58EDE7F}"/>
            </c:ext>
          </c:extLst>
        </c:ser>
        <c:dLbls>
          <c:showLegendKey val="0"/>
          <c:showVal val="0"/>
          <c:showCatName val="0"/>
          <c:showSerName val="0"/>
          <c:showPercent val="0"/>
          <c:showBubbleSize val="0"/>
        </c:dLbls>
        <c:gapWidth val="150"/>
        <c:axId val="1337289392"/>
        <c:axId val="1862455424"/>
      </c:barChart>
      <c:catAx>
        <c:axId val="1337289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2455424"/>
        <c:crosses val="autoZero"/>
        <c:auto val="1"/>
        <c:lblAlgn val="ctr"/>
        <c:lblOffset val="100"/>
        <c:noMultiLvlLbl val="0"/>
      </c:catAx>
      <c:valAx>
        <c:axId val="1862455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289392"/>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Training</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Graduate Professionalism</c:v>
                </c:pt>
              </c:strCache>
            </c:strRef>
          </c:tx>
          <c:spPr>
            <a:solidFill>
              <a:schemeClr val="accent1"/>
            </a:solidFill>
            <a:ln>
              <a:noFill/>
            </a:ln>
            <a:effectLst/>
            <a:sp3d/>
          </c:spPr>
          <c:invertIfNegative val="0"/>
          <c:dPt>
            <c:idx val="0"/>
            <c:invertIfNegative val="0"/>
            <c:bubble3D val="0"/>
            <c:spPr>
              <a:solidFill>
                <a:schemeClr val="bg2">
                  <a:lumMod val="50000"/>
                </a:schemeClr>
              </a:solidFill>
              <a:ln>
                <a:noFill/>
              </a:ln>
              <a:effectLst/>
              <a:sp3d/>
            </c:spPr>
            <c:extLst>
              <c:ext xmlns:c16="http://schemas.microsoft.com/office/drawing/2014/chart" uri="{C3380CC4-5D6E-409C-BE32-E72D297353CC}">
                <c16:uniqueId val="{00000005-7EE8-48D5-BCEC-96083529B664}"/>
              </c:ext>
            </c:extLst>
          </c:dPt>
          <c:dPt>
            <c:idx val="1"/>
            <c:invertIfNegative val="0"/>
            <c:bubble3D val="0"/>
            <c:spPr>
              <a:solidFill>
                <a:srgbClr val="C00000"/>
              </a:solidFill>
              <a:ln>
                <a:noFill/>
              </a:ln>
              <a:effectLst/>
              <a:sp3d/>
            </c:spPr>
            <c:extLst>
              <c:ext xmlns:c16="http://schemas.microsoft.com/office/drawing/2014/chart" uri="{C3380CC4-5D6E-409C-BE32-E72D297353CC}">
                <c16:uniqueId val="{00000004-7EE8-48D5-BCEC-96083529B6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 Person</c:v>
                </c:pt>
                <c:pt idx="1">
                  <c:v>Online</c:v>
                </c:pt>
              </c:strCache>
            </c:strRef>
          </c:cat>
          <c:val>
            <c:numRef>
              <c:f>Sheet1!$B$2:$B$3</c:f>
              <c:numCache>
                <c:formatCode>General</c:formatCode>
                <c:ptCount val="2"/>
              </c:numCache>
            </c:numRef>
          </c:val>
          <c:extLst>
            <c:ext xmlns:c16="http://schemas.microsoft.com/office/drawing/2014/chart" uri="{C3380CC4-5D6E-409C-BE32-E72D297353CC}">
              <c16:uniqueId val="{00000000-7EE8-48D5-BCEC-96083529B664}"/>
            </c:ext>
          </c:extLst>
        </c:ser>
        <c:ser>
          <c:idx val="1"/>
          <c:order val="1"/>
          <c:tx>
            <c:strRef>
              <c:f>Sheet1!$C$1</c:f>
              <c:strCache>
                <c:ptCount val="1"/>
                <c:pt idx="0">
                  <c:v>Graduate Ethics</c:v>
                </c:pt>
              </c:strCache>
            </c:strRef>
          </c:tx>
          <c:spPr>
            <a:solidFill>
              <a:srgbClr val="C00000"/>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7474672197024624"/>
                      <c:h val="0.2509461765709779"/>
                    </c:manualLayout>
                  </c15:layout>
                </c:ext>
                <c:ext xmlns:c16="http://schemas.microsoft.com/office/drawing/2014/chart" uri="{C3380CC4-5D6E-409C-BE32-E72D297353CC}">
                  <c16:uniqueId val="{00000005-464E-439A-BB39-A136DC623A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 Person</c:v>
                </c:pt>
                <c:pt idx="1">
                  <c:v>Online</c:v>
                </c:pt>
              </c:strCache>
            </c:strRef>
          </c:cat>
          <c:val>
            <c:numRef>
              <c:f>Sheet1!$C$2:$C$3</c:f>
              <c:numCache>
                <c:formatCode>General</c:formatCode>
                <c:ptCount val="2"/>
                <c:pt idx="0">
                  <c:v>30</c:v>
                </c:pt>
              </c:numCache>
            </c:numRef>
          </c:val>
          <c:extLst>
            <c:ext xmlns:c16="http://schemas.microsoft.com/office/drawing/2014/chart" uri="{C3380CC4-5D6E-409C-BE32-E72D297353CC}">
              <c16:uniqueId val="{00000001-7EE8-48D5-BCEC-96083529B664}"/>
            </c:ext>
          </c:extLst>
        </c:ser>
        <c:ser>
          <c:idx val="2"/>
          <c:order val="2"/>
          <c:tx>
            <c:strRef>
              <c:f>Sheet1!$D$1</c:f>
              <c:strCache>
                <c:ptCount val="1"/>
                <c:pt idx="0">
                  <c:v>Citi</c:v>
                </c:pt>
              </c:strCache>
            </c:strRef>
          </c:tx>
          <c:spPr>
            <a:solidFill>
              <a:srgbClr val="C00000"/>
            </a:solidFill>
            <a:ln>
              <a:noFill/>
            </a:ln>
            <a:effectLst/>
            <a:sp3d/>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7EE8-48D5-BCEC-96083529B6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Sheet1!$A$2:$A$3</c:f>
              <c:strCache>
                <c:ptCount val="2"/>
                <c:pt idx="0">
                  <c:v>In Person</c:v>
                </c:pt>
                <c:pt idx="1">
                  <c:v>Online</c:v>
                </c:pt>
              </c:strCache>
            </c:strRef>
          </c:cat>
          <c:val>
            <c:numRef>
              <c:f>Sheet1!$D$2:$D$3</c:f>
              <c:numCache>
                <c:formatCode>General</c:formatCode>
                <c:ptCount val="2"/>
                <c:pt idx="1">
                  <c:v>126</c:v>
                </c:pt>
              </c:numCache>
            </c:numRef>
          </c:val>
          <c:extLst>
            <c:ext xmlns:c16="http://schemas.microsoft.com/office/drawing/2014/chart" uri="{C3380CC4-5D6E-409C-BE32-E72D297353CC}">
              <c16:uniqueId val="{00000006-7EE8-48D5-BCEC-96083529B664}"/>
            </c:ext>
          </c:extLst>
        </c:ser>
        <c:dLbls>
          <c:showLegendKey val="0"/>
          <c:showVal val="0"/>
          <c:showCatName val="0"/>
          <c:showSerName val="0"/>
          <c:showPercent val="0"/>
          <c:showBubbleSize val="0"/>
        </c:dLbls>
        <c:gapWidth val="150"/>
        <c:shape val="box"/>
        <c:axId val="1848373520"/>
        <c:axId val="1862454176"/>
        <c:axId val="0"/>
      </c:bar3DChart>
      <c:catAx>
        <c:axId val="1848373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2454176"/>
        <c:crosses val="autoZero"/>
        <c:auto val="1"/>
        <c:lblAlgn val="ctr"/>
        <c:lblOffset val="100"/>
        <c:noMultiLvlLbl val="0"/>
      </c:catAx>
      <c:valAx>
        <c:axId val="1862454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837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Training Topics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Training Topics</c:v>
                </c:pt>
              </c:strCache>
            </c:strRef>
          </c:tx>
          <c:spPr>
            <a:solidFill>
              <a:srgbClr val="C00000"/>
            </a:solidFill>
            <a:ln>
              <a:noFill/>
            </a:ln>
            <a:effectLst/>
            <a:sp3d/>
          </c:spPr>
          <c:invertIfNegative val="0"/>
          <c:cat>
            <c:strRef>
              <c:f>Sheet1!$A$2:$A$11</c:f>
              <c:strCache>
                <c:ptCount val="10"/>
                <c:pt idx="0">
                  <c:v>Mentoring</c:v>
                </c:pt>
                <c:pt idx="1">
                  <c:v>Collaborative Research</c:v>
                </c:pt>
                <c:pt idx="2">
                  <c:v>Animal Care and Use</c:v>
                </c:pt>
                <c:pt idx="3">
                  <c:v>Conflicts of Interest</c:v>
                </c:pt>
                <c:pt idx="4">
                  <c:v>Peer Review</c:v>
                </c:pt>
                <c:pt idx="5">
                  <c:v>Authorship and Publication</c:v>
                </c:pt>
                <c:pt idx="6">
                  <c:v>Research Misconduct</c:v>
                </c:pt>
                <c:pt idx="7">
                  <c:v>Data Management</c:v>
                </c:pt>
                <c:pt idx="8">
                  <c:v>Human Subjects</c:v>
                </c:pt>
                <c:pt idx="9">
                  <c:v>Laboratory Safety</c:v>
                </c:pt>
              </c:strCache>
            </c:strRef>
          </c:cat>
          <c:val>
            <c:numRef>
              <c:f>Sheet1!$B$2:$B$11</c:f>
              <c:numCache>
                <c:formatCode>General</c:formatCode>
                <c:ptCount val="10"/>
                <c:pt idx="0">
                  <c:v>51</c:v>
                </c:pt>
                <c:pt idx="1">
                  <c:v>56</c:v>
                </c:pt>
                <c:pt idx="2">
                  <c:v>14</c:v>
                </c:pt>
                <c:pt idx="3">
                  <c:v>40</c:v>
                </c:pt>
                <c:pt idx="4">
                  <c:v>48</c:v>
                </c:pt>
                <c:pt idx="5">
                  <c:v>46</c:v>
                </c:pt>
                <c:pt idx="6">
                  <c:v>58</c:v>
                </c:pt>
                <c:pt idx="7">
                  <c:v>45</c:v>
                </c:pt>
                <c:pt idx="8">
                  <c:v>25</c:v>
                </c:pt>
                <c:pt idx="9">
                  <c:v>71</c:v>
                </c:pt>
              </c:numCache>
            </c:numRef>
          </c:val>
          <c:extLst>
            <c:ext xmlns:c16="http://schemas.microsoft.com/office/drawing/2014/chart" uri="{C3380CC4-5D6E-409C-BE32-E72D297353CC}">
              <c16:uniqueId val="{00000000-726D-46CC-9B7D-971C6948D373}"/>
            </c:ext>
          </c:extLst>
        </c:ser>
        <c:dLbls>
          <c:showLegendKey val="0"/>
          <c:showVal val="0"/>
          <c:showCatName val="0"/>
          <c:showSerName val="0"/>
          <c:showPercent val="0"/>
          <c:showBubbleSize val="0"/>
        </c:dLbls>
        <c:gapWidth val="150"/>
        <c:shape val="box"/>
        <c:axId val="1943634192"/>
        <c:axId val="1005001456"/>
        <c:axId val="0"/>
      </c:bar3DChart>
      <c:catAx>
        <c:axId val="1943634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001456"/>
        <c:crosses val="autoZero"/>
        <c:auto val="1"/>
        <c:lblAlgn val="ctr"/>
        <c:lblOffset val="100"/>
        <c:noMultiLvlLbl val="0"/>
      </c:catAx>
      <c:valAx>
        <c:axId val="100500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634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General Laboratory</a:t>
            </a:r>
            <a:r>
              <a:rPr lang="en-US" baseline="0"/>
              <a:t> Safety </a:t>
            </a:r>
            <a:r>
              <a:rPr lang="en-US"/>
              <a:t>Training</a:t>
            </a:r>
          </a:p>
        </c:rich>
      </c:tx>
      <c:layout>
        <c:manualLayout>
          <c:xMode val="edge"/>
          <c:yMode val="edge"/>
          <c:x val="0.13500765011008695"/>
          <c:y val="3.13725490196078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Sheet1!#REF!</c:f>
              <c:strCache>
                <c:ptCount val="1"/>
                <c:pt idx="0">
                  <c:v>#REF!</c:v>
                </c:pt>
              </c:strCache>
            </c:strRef>
          </c:tx>
          <c:spPr>
            <a:solidFill>
              <a:schemeClr val="accent1"/>
            </a:solidFill>
            <a:ln>
              <a:noFill/>
            </a:ln>
            <a:effectLst/>
            <a:sp3d/>
          </c:spPr>
          <c:invertIfNegative val="0"/>
          <c:cat>
            <c:strRef>
              <c:f>Sheet1!$B$2:$B$3</c:f>
              <c:strCache>
                <c:ptCount val="2"/>
                <c:pt idx="0">
                  <c:v>NIU Online</c:v>
                </c:pt>
                <c:pt idx="1">
                  <c:v>Citi Training</c:v>
                </c:pt>
              </c:strCache>
            </c:strRef>
          </c:cat>
          <c:val>
            <c:numRef>
              <c:f>Sheet1!#REF!</c:f>
              <c:numCache>
                <c:formatCode>General</c:formatCode>
                <c:ptCount val="1"/>
                <c:pt idx="0">
                  <c:v>1</c:v>
                </c:pt>
              </c:numCache>
            </c:numRef>
          </c:val>
          <c:extLst>
            <c:ext xmlns:c16="http://schemas.microsoft.com/office/drawing/2014/chart" uri="{C3380CC4-5D6E-409C-BE32-E72D297353CC}">
              <c16:uniqueId val="{00000000-CC60-4491-91E9-FBE4B5C18535}"/>
            </c:ext>
          </c:extLst>
        </c:ser>
        <c:ser>
          <c:idx val="1"/>
          <c:order val="1"/>
          <c:tx>
            <c:strRef>
              <c:f>Sheet1!$C$1</c:f>
              <c:strCache>
                <c:ptCount val="1"/>
                <c:pt idx="0">
                  <c:v>Chemistry</c:v>
                </c:pt>
              </c:strCache>
            </c:strRef>
          </c:tx>
          <c:spPr>
            <a:solidFill>
              <a:schemeClr val="bg2">
                <a:lumMod val="50000"/>
              </a:schemeClr>
            </a:solidFill>
            <a:ln>
              <a:noFill/>
            </a:ln>
            <a:effectLst/>
            <a:sp3d/>
          </c:spPr>
          <c:invertIfNegative val="0"/>
          <c:cat>
            <c:strRef>
              <c:f>Sheet1!$B$2:$B$3</c:f>
              <c:strCache>
                <c:ptCount val="2"/>
                <c:pt idx="0">
                  <c:v>NIU Online</c:v>
                </c:pt>
                <c:pt idx="1">
                  <c:v>Citi Training</c:v>
                </c:pt>
              </c:strCache>
            </c:strRef>
          </c:cat>
          <c:val>
            <c:numRef>
              <c:f>Sheet1!$C$2:$C$3</c:f>
              <c:numCache>
                <c:formatCode>General</c:formatCode>
                <c:ptCount val="2"/>
                <c:pt idx="0">
                  <c:v>80</c:v>
                </c:pt>
              </c:numCache>
            </c:numRef>
          </c:val>
          <c:extLst>
            <c:ext xmlns:c16="http://schemas.microsoft.com/office/drawing/2014/chart" uri="{C3380CC4-5D6E-409C-BE32-E72D297353CC}">
              <c16:uniqueId val="{00000001-CC60-4491-91E9-FBE4B5C18535}"/>
            </c:ext>
          </c:extLst>
        </c:ser>
        <c:ser>
          <c:idx val="2"/>
          <c:order val="2"/>
          <c:tx>
            <c:strRef>
              <c:f>Sheet1!#REF!</c:f>
              <c:strCache>
                <c:ptCount val="1"/>
                <c:pt idx="0">
                  <c:v>#REF!</c:v>
                </c:pt>
              </c:strCache>
            </c:strRef>
          </c:tx>
          <c:spPr>
            <a:solidFill>
              <a:schemeClr val="accent3"/>
            </a:solidFill>
            <a:ln>
              <a:noFill/>
            </a:ln>
            <a:effectLst/>
            <a:sp3d/>
          </c:spPr>
          <c:invertIfNegative val="0"/>
          <c:cat>
            <c:strRef>
              <c:f>Sheet1!$B$2:$B$3</c:f>
              <c:strCache>
                <c:ptCount val="2"/>
                <c:pt idx="0">
                  <c:v>NIU Online</c:v>
                </c:pt>
                <c:pt idx="1">
                  <c:v>Citi Training</c:v>
                </c:pt>
              </c:strCache>
            </c:strRef>
          </c:cat>
          <c:val>
            <c:numRef>
              <c:f>Sheet1!#REF!</c:f>
              <c:numCache>
                <c:formatCode>General</c:formatCode>
                <c:ptCount val="1"/>
                <c:pt idx="0">
                  <c:v>1</c:v>
                </c:pt>
              </c:numCache>
            </c:numRef>
          </c:val>
          <c:extLst>
            <c:ext xmlns:c16="http://schemas.microsoft.com/office/drawing/2014/chart" uri="{C3380CC4-5D6E-409C-BE32-E72D297353CC}">
              <c16:uniqueId val="{00000002-CC60-4491-91E9-FBE4B5C18535}"/>
            </c:ext>
          </c:extLst>
        </c:ser>
        <c:ser>
          <c:idx val="3"/>
          <c:order val="3"/>
          <c:tx>
            <c:strRef>
              <c:f>Sheet1!$D$1</c:f>
              <c:strCache>
                <c:ptCount val="1"/>
                <c:pt idx="0">
                  <c:v>Engineering</c:v>
                </c:pt>
              </c:strCache>
            </c:strRef>
          </c:tx>
          <c:spPr>
            <a:solidFill>
              <a:schemeClr val="bg2">
                <a:lumMod val="75000"/>
              </a:schemeClr>
            </a:solidFill>
            <a:ln>
              <a:noFill/>
            </a:ln>
            <a:effectLst/>
            <a:sp3d/>
          </c:spPr>
          <c:invertIfNegative val="0"/>
          <c:cat>
            <c:strRef>
              <c:f>Sheet1!$B$2:$B$3</c:f>
              <c:strCache>
                <c:ptCount val="2"/>
                <c:pt idx="0">
                  <c:v>NIU Online</c:v>
                </c:pt>
                <c:pt idx="1">
                  <c:v>Citi Training</c:v>
                </c:pt>
              </c:strCache>
            </c:strRef>
          </c:cat>
          <c:val>
            <c:numRef>
              <c:f>Sheet1!$D$2:$D$3</c:f>
              <c:numCache>
                <c:formatCode>General</c:formatCode>
                <c:ptCount val="2"/>
                <c:pt idx="0">
                  <c:v>80</c:v>
                </c:pt>
              </c:numCache>
            </c:numRef>
          </c:val>
          <c:extLst>
            <c:ext xmlns:c16="http://schemas.microsoft.com/office/drawing/2014/chart" uri="{C3380CC4-5D6E-409C-BE32-E72D297353CC}">
              <c16:uniqueId val="{00000004-CC60-4491-91E9-FBE4B5C18535}"/>
            </c:ext>
          </c:extLst>
        </c:ser>
        <c:ser>
          <c:idx val="4"/>
          <c:order val="4"/>
          <c:tx>
            <c:strRef>
              <c:f>Sheet1!#REF!</c:f>
              <c:strCache>
                <c:ptCount val="1"/>
                <c:pt idx="0">
                  <c:v>#REF!</c:v>
                </c:pt>
              </c:strCache>
            </c:strRef>
          </c:tx>
          <c:spPr>
            <a:solidFill>
              <a:schemeClr val="accent5"/>
            </a:solidFill>
            <a:ln>
              <a:noFill/>
            </a:ln>
            <a:effectLst/>
            <a:sp3d/>
          </c:spPr>
          <c:invertIfNegative val="0"/>
          <c:cat>
            <c:strRef>
              <c:f>Sheet1!$B$2:$B$3</c:f>
              <c:strCache>
                <c:ptCount val="2"/>
                <c:pt idx="0">
                  <c:v>NIU Online</c:v>
                </c:pt>
                <c:pt idx="1">
                  <c:v>Citi Training</c:v>
                </c:pt>
              </c:strCache>
            </c:strRef>
          </c:cat>
          <c:val>
            <c:numRef>
              <c:f>Sheet1!#REF!</c:f>
              <c:numCache>
                <c:formatCode>General</c:formatCode>
                <c:ptCount val="1"/>
                <c:pt idx="0">
                  <c:v>1</c:v>
                </c:pt>
              </c:numCache>
            </c:numRef>
          </c:val>
          <c:extLst>
            <c:ext xmlns:c16="http://schemas.microsoft.com/office/drawing/2014/chart" uri="{C3380CC4-5D6E-409C-BE32-E72D297353CC}">
              <c16:uniqueId val="{00000005-CC60-4491-91E9-FBE4B5C18535}"/>
            </c:ext>
          </c:extLst>
        </c:ser>
        <c:ser>
          <c:idx val="5"/>
          <c:order val="5"/>
          <c:tx>
            <c:strRef>
              <c:f>Sheet1!$E$1</c:f>
              <c:strCache>
                <c:ptCount val="1"/>
                <c:pt idx="0">
                  <c:v>Citi</c:v>
                </c:pt>
              </c:strCache>
            </c:strRef>
          </c:tx>
          <c:spPr>
            <a:solidFill>
              <a:srgbClr val="C00000"/>
            </a:solidFill>
            <a:ln>
              <a:noFill/>
            </a:ln>
            <a:effectLst/>
            <a:sp3d/>
          </c:spPr>
          <c:invertIfNegative val="0"/>
          <c:cat>
            <c:strRef>
              <c:f>Sheet1!$B$2:$B$3</c:f>
              <c:strCache>
                <c:ptCount val="2"/>
                <c:pt idx="0">
                  <c:v>NIU Online</c:v>
                </c:pt>
                <c:pt idx="1">
                  <c:v>Citi Training</c:v>
                </c:pt>
              </c:strCache>
            </c:strRef>
          </c:cat>
          <c:val>
            <c:numRef>
              <c:f>Sheet1!$E$2:$E$3</c:f>
              <c:numCache>
                <c:formatCode>General</c:formatCode>
                <c:ptCount val="2"/>
                <c:pt idx="1">
                  <c:v>99</c:v>
                </c:pt>
              </c:numCache>
            </c:numRef>
          </c:val>
          <c:extLst>
            <c:ext xmlns:c16="http://schemas.microsoft.com/office/drawing/2014/chart" uri="{C3380CC4-5D6E-409C-BE32-E72D297353CC}">
              <c16:uniqueId val="{00000006-CC60-4491-91E9-FBE4B5C18535}"/>
            </c:ext>
          </c:extLst>
        </c:ser>
        <c:dLbls>
          <c:showLegendKey val="0"/>
          <c:showVal val="0"/>
          <c:showCatName val="0"/>
          <c:showSerName val="0"/>
          <c:showPercent val="0"/>
          <c:showBubbleSize val="0"/>
        </c:dLbls>
        <c:gapWidth val="150"/>
        <c:shape val="box"/>
        <c:axId val="1052245184"/>
        <c:axId val="1852531520"/>
        <c:axId val="0"/>
      </c:bar3DChart>
      <c:catAx>
        <c:axId val="1052245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2531520"/>
        <c:crosses val="autoZero"/>
        <c:auto val="1"/>
        <c:lblAlgn val="ctr"/>
        <c:lblOffset val="100"/>
        <c:noMultiLvlLbl val="0"/>
      </c:catAx>
      <c:valAx>
        <c:axId val="185253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245184"/>
        <c:crosses val="autoZero"/>
        <c:crossBetween val="between"/>
      </c:valAx>
      <c:spPr>
        <a:noFill/>
        <a:ln>
          <a:noFill/>
        </a:ln>
        <a:effectLst/>
      </c:spPr>
    </c:plotArea>
    <c:legend>
      <c:legendPos val="b"/>
      <c:legendEntry>
        <c:idx val="0"/>
        <c:delete val="1"/>
      </c:legendEntry>
      <c:legendEntry>
        <c:idx val="2"/>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A9E02C03B62479E6D2848B35A8CCC" ma:contentTypeVersion="11" ma:contentTypeDescription="Create a new document." ma:contentTypeScope="" ma:versionID="57aea8ef583221e090a963b3d1d02588">
  <xsd:schema xmlns:xsd="http://www.w3.org/2001/XMLSchema" xmlns:xs="http://www.w3.org/2001/XMLSchema" xmlns:p="http://schemas.microsoft.com/office/2006/metadata/properties" xmlns:ns3="caaf69db-5d6c-4491-8ee8-2c8b864890f4" xmlns:ns4="a35e3a43-7935-4317-a6be-8c55a7b822a1" targetNamespace="http://schemas.microsoft.com/office/2006/metadata/properties" ma:root="true" ma:fieldsID="6e5139874ec9a74a1b986df06e325bda" ns3:_="" ns4:_="">
    <xsd:import namespace="caaf69db-5d6c-4491-8ee8-2c8b864890f4"/>
    <xsd:import namespace="a35e3a43-7935-4317-a6be-8c55a7b822a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f69db-5d6c-4491-8ee8-2c8b86489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e3a43-7935-4317-a6be-8c55a7b822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0F53-B611-4BE1-8187-53A6D61997D1}">
  <ds:schemaRefs>
    <ds:schemaRef ds:uri="http://schemas.microsoft.com/sharepoint/v3/contenttype/forms"/>
  </ds:schemaRefs>
</ds:datastoreItem>
</file>

<file path=customXml/itemProps2.xml><?xml version="1.0" encoding="utf-8"?>
<ds:datastoreItem xmlns:ds="http://schemas.openxmlformats.org/officeDocument/2006/customXml" ds:itemID="{42F59BD3-5A7B-4A42-A282-5BCD92AE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f69db-5d6c-4491-8ee8-2c8b864890f4"/>
    <ds:schemaRef ds:uri="a35e3a43-7935-4317-a6be-8c55a7b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6C6D8-0253-4E97-813A-07527FC58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1DBFC-C5FC-4EE1-9199-B884EC2B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28578</TotalTime>
  <Pages>18</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Stoker</dc:creator>
  <cp:keywords/>
  <dc:description/>
  <cp:lastModifiedBy>Shannon Stoker</cp:lastModifiedBy>
  <cp:revision>1</cp:revision>
  <dcterms:created xsi:type="dcterms:W3CDTF">2021-10-06T16:33:00Z</dcterms:created>
  <dcterms:modified xsi:type="dcterms:W3CDTF">2021-11-02T14:55:00Z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0x010100F9FA9E02C03B62479E6D2848B35A8CCC</vt:lpwstr>
  </property>
</Properties>
</file>